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8838" w14:textId="77777777" w:rsidR="00112F15" w:rsidRDefault="00815ACD">
      <w:pPr>
        <w:pStyle w:val="Dz1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DODATKOWA</w:t>
      </w:r>
      <w:r>
        <w:rPr>
          <w:rFonts w:ascii="Arial" w:hAnsi="Arial" w:cs="Arial"/>
        </w:rPr>
        <w:br/>
      </w:r>
    </w:p>
    <w:p w14:paraId="2A8BAB94" w14:textId="77777777" w:rsidR="00112F15" w:rsidRDefault="00112F15">
      <w:pPr>
        <w:pStyle w:val="Dz1"/>
        <w:spacing w:before="240"/>
        <w:rPr>
          <w:rFonts w:ascii="Arial" w:hAnsi="Arial" w:cs="Arial"/>
        </w:rPr>
      </w:pPr>
    </w:p>
    <w:p w14:paraId="4B422182" w14:textId="77777777" w:rsidR="00112F15" w:rsidRDefault="00112F15">
      <w:pPr>
        <w:pStyle w:val="Art"/>
        <w:rPr>
          <w:rFonts w:ascii="Arial" w:hAnsi="Arial" w:cs="Arial"/>
        </w:rPr>
      </w:pPr>
    </w:p>
    <w:p w14:paraId="430C62C6" w14:textId="77777777" w:rsidR="00112F15" w:rsidRDefault="00815ACD">
      <w:pPr>
        <w:pStyle w:val="Dz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  <w:t>Wprowadzenie do sprawozdania finansowego</w:t>
      </w:r>
    </w:p>
    <w:p w14:paraId="4D362B02" w14:textId="77777777" w:rsidR="00112F15" w:rsidRDefault="00112F15">
      <w:pPr>
        <w:pStyle w:val="Luka"/>
        <w:rPr>
          <w:rFonts w:ascii="Arial" w:hAnsi="Arial" w:cs="Arial"/>
          <w:sz w:val="20"/>
          <w:szCs w:val="20"/>
        </w:rPr>
      </w:pPr>
    </w:p>
    <w:p w14:paraId="321CC6D7" w14:textId="77777777" w:rsidR="00112F15" w:rsidRDefault="00112F15">
      <w:pPr>
        <w:pStyle w:val="Artbezakapit"/>
        <w:rPr>
          <w:rFonts w:ascii="Arial" w:hAnsi="Arial" w:cs="Arial"/>
          <w:b/>
          <w:bCs/>
          <w:sz w:val="20"/>
          <w:szCs w:val="20"/>
        </w:rPr>
      </w:pPr>
    </w:p>
    <w:p w14:paraId="1504FB27" w14:textId="77777777" w:rsidR="00112F15" w:rsidRDefault="00815ACD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</w:p>
    <w:p w14:paraId="7B23C0DC" w14:textId="77777777" w:rsidR="00112F15" w:rsidRDefault="00815ACD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 Nazwa jednostki: SZKOŁA PODSTAWOWA NR 11 IM. JULIUSZA SŁOWACKIEGO</w:t>
      </w:r>
    </w:p>
    <w:p w14:paraId="25AAB2E2" w14:textId="77777777" w:rsidR="00112F15" w:rsidRDefault="00815ACD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 Siedziba jednostki : SIEMIANOWICE ŚLĄSKIE</w:t>
      </w:r>
    </w:p>
    <w:p w14:paraId="209D3E6D" w14:textId="77777777" w:rsidR="00112F15" w:rsidRDefault="00815ACD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1.3 Adres jednostki: SŁOWACKIEGO 5 , </w:t>
      </w:r>
      <w:r>
        <w:rPr>
          <w:rFonts w:ascii="Arial" w:hAnsi="Arial" w:cs="Arial"/>
          <w:b/>
          <w:bCs/>
          <w:sz w:val="20"/>
          <w:szCs w:val="20"/>
        </w:rPr>
        <w:t>SIEMIANOWICE ŚLĄSKIE</w:t>
      </w:r>
    </w:p>
    <w:p w14:paraId="4B70A986" w14:textId="77777777" w:rsidR="00112F15" w:rsidRDefault="00815ACD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1.4 Podstawowy przedmiot działalności jednostki: DZIAŁALNOŚĆ OŚWIATOWA</w:t>
      </w:r>
    </w:p>
    <w:p w14:paraId="3C244FEC" w14:textId="77777777" w:rsidR="00112F15" w:rsidRDefault="00815ACD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Wskazanie okresu objętego sprawozdaniem: 01.01.2021 – 31.12.2021</w:t>
      </w:r>
    </w:p>
    <w:p w14:paraId="581AED32" w14:textId="77777777" w:rsidR="00112F15" w:rsidRDefault="00815ACD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Wskazanie, że sprawozdanie finansowe zawiera dane łączne, jeżeli w skład jednostki nadrzędnej</w:t>
      </w:r>
      <w:r>
        <w:rPr>
          <w:rFonts w:ascii="Arial" w:hAnsi="Arial" w:cs="Arial"/>
          <w:b/>
          <w:bCs/>
          <w:sz w:val="20"/>
          <w:szCs w:val="20"/>
        </w:rPr>
        <w:t xml:space="preserve"> lub jednostki samorządu terytorialnego wchodzą jednostki sporządzające samodzielne sprawozdania finansowe: NIE DOTYCZY</w:t>
      </w:r>
    </w:p>
    <w:p w14:paraId="1C0A768D" w14:textId="77777777" w:rsidR="00112F15" w:rsidRDefault="00815ACD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Omówienie przyjętych zasad (polityki) rachunkowości,  w tym metod wyceny aktywów i pasywów (także amortyzacji):</w:t>
      </w:r>
    </w:p>
    <w:p w14:paraId="5872BB77" w14:textId="77777777" w:rsidR="00112F15" w:rsidRDefault="00815AC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Aktywa i pasywa wycen</w:t>
      </w:r>
      <w:r>
        <w:rPr>
          <w:rFonts w:ascii="Arial" w:hAnsi="Arial" w:cs="Arial"/>
          <w:sz w:val="20"/>
          <w:szCs w:val="20"/>
        </w:rPr>
        <w:t>iane są z uwzględnieniem zasad rachunkowości. Ujmowanie środków trwałych oraz wartości niematerialnych i prawnych wygląda w następujący sposób:</w:t>
      </w:r>
    </w:p>
    <w:p w14:paraId="448E9F91" w14:textId="77777777" w:rsidR="00112F15" w:rsidRDefault="00815AC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składniki majątku do 1 000,00 zł jednostka zalicza bezpośrednio w koszty, powyżej 1 000,00 zł. do 10 </w:t>
      </w:r>
      <w:r>
        <w:rPr>
          <w:rFonts w:ascii="Arial" w:hAnsi="Arial" w:cs="Arial"/>
          <w:sz w:val="20"/>
          <w:szCs w:val="20"/>
        </w:rPr>
        <w:t xml:space="preserve">000,00 zł. Zaliczane są do pozostałych środków trwałych lub wartości niematerialnych i prawnych oraz wprowadza się do ewidencji bilansowej aktywów, dokonując odpisów umorzeniowych. Składniki majątku o wartości początkowej powyżej 10 000,00 zł zaliczane są </w:t>
      </w:r>
      <w:r>
        <w:rPr>
          <w:rFonts w:ascii="Arial" w:hAnsi="Arial" w:cs="Arial"/>
          <w:sz w:val="20"/>
          <w:szCs w:val="20"/>
        </w:rPr>
        <w:t>do środków trwałych lub wartości niematerialnych i prawnych oraz wprowadzane są do ewidencji bilansowej aktywów, dokonując odpisów amortyzacyjnych.</w:t>
      </w:r>
    </w:p>
    <w:p w14:paraId="2E8C67A0" w14:textId="77777777" w:rsidR="00112F15" w:rsidRDefault="00815ACD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Inne informacje</w:t>
      </w:r>
    </w:p>
    <w:p w14:paraId="5B7038D2" w14:textId="77777777" w:rsidR="00112F15" w:rsidRDefault="00112F15">
      <w:pPr>
        <w:pStyle w:val="Artbezakapit"/>
        <w:rPr>
          <w:rFonts w:ascii="Arial" w:hAnsi="Arial" w:cs="Arial"/>
          <w:sz w:val="20"/>
          <w:szCs w:val="20"/>
        </w:rPr>
      </w:pPr>
    </w:p>
    <w:p w14:paraId="7B40A601" w14:textId="77777777" w:rsidR="00112F15" w:rsidRDefault="00112F15">
      <w:pPr>
        <w:pStyle w:val="Luka"/>
      </w:pPr>
    </w:p>
    <w:p w14:paraId="7A2D6CC5" w14:textId="77777777" w:rsidR="00112F15" w:rsidRDefault="00112F15">
      <w:pPr>
        <w:pStyle w:val="Luka"/>
      </w:pPr>
    </w:p>
    <w:p w14:paraId="3BB2BDDF" w14:textId="77777777" w:rsidR="00112F15" w:rsidRDefault="00112F15">
      <w:pPr>
        <w:pStyle w:val="Luka"/>
      </w:pPr>
    </w:p>
    <w:p w14:paraId="532AFB0A" w14:textId="77777777" w:rsidR="00112F15" w:rsidRDefault="00112F15">
      <w:pPr>
        <w:pStyle w:val="Luka"/>
      </w:pPr>
    </w:p>
    <w:p w14:paraId="32ED7F1B" w14:textId="77777777" w:rsidR="00112F15" w:rsidRDefault="00112F15">
      <w:pPr>
        <w:pStyle w:val="Luka"/>
      </w:pPr>
    </w:p>
    <w:p w14:paraId="5C320BCB" w14:textId="77777777" w:rsidR="00112F15" w:rsidRDefault="00112F15">
      <w:pPr>
        <w:pStyle w:val="Luka"/>
      </w:pPr>
    </w:p>
    <w:p w14:paraId="06FB548C" w14:textId="77777777" w:rsidR="00112F15" w:rsidRDefault="00112F15">
      <w:pPr>
        <w:pStyle w:val="Luka"/>
      </w:pPr>
    </w:p>
    <w:p w14:paraId="72E7449D" w14:textId="77777777" w:rsidR="00112F15" w:rsidRDefault="00112F15">
      <w:pPr>
        <w:pStyle w:val="Luka"/>
      </w:pPr>
    </w:p>
    <w:p w14:paraId="2D403F5C" w14:textId="77777777" w:rsidR="00112F15" w:rsidRDefault="00112F15">
      <w:pPr>
        <w:pStyle w:val="Luka"/>
        <w:jc w:val="right"/>
      </w:pPr>
    </w:p>
    <w:p w14:paraId="14CB7DDF" w14:textId="77777777" w:rsidR="00112F15" w:rsidRDefault="00112F15">
      <w:pPr>
        <w:pStyle w:val="Luka"/>
      </w:pPr>
    </w:p>
    <w:p w14:paraId="5DA8987F" w14:textId="77777777" w:rsidR="00112F15" w:rsidRDefault="00112F15">
      <w:pPr>
        <w:pStyle w:val="Luka"/>
      </w:pPr>
    </w:p>
    <w:p w14:paraId="27EF1ABA" w14:textId="77777777" w:rsidR="00112F15" w:rsidRDefault="00112F15">
      <w:pPr>
        <w:pStyle w:val="Luka"/>
      </w:pPr>
    </w:p>
    <w:p w14:paraId="1AE11C34" w14:textId="77777777" w:rsidR="00112F15" w:rsidRDefault="00112F15">
      <w:pPr>
        <w:pStyle w:val="Luka"/>
      </w:pPr>
    </w:p>
    <w:p w14:paraId="4903A712" w14:textId="77777777" w:rsidR="00112F15" w:rsidRDefault="00112F15">
      <w:pPr>
        <w:pStyle w:val="Luka"/>
      </w:pPr>
    </w:p>
    <w:p w14:paraId="2C2D2F83" w14:textId="77777777" w:rsidR="00112F15" w:rsidRDefault="00112F15">
      <w:pPr>
        <w:pStyle w:val="Luka"/>
      </w:pPr>
    </w:p>
    <w:p w14:paraId="5C84837D" w14:textId="77777777" w:rsidR="00112F15" w:rsidRDefault="00112F15">
      <w:pPr>
        <w:pStyle w:val="Luka"/>
      </w:pPr>
    </w:p>
    <w:p w14:paraId="62B53683" w14:textId="77777777" w:rsidR="00112F15" w:rsidRDefault="00112F15">
      <w:pPr>
        <w:pStyle w:val="Luka"/>
      </w:pPr>
    </w:p>
    <w:p w14:paraId="5CF93334" w14:textId="77777777" w:rsidR="00112F15" w:rsidRDefault="00112F15">
      <w:pPr>
        <w:pStyle w:val="Luka"/>
      </w:pPr>
    </w:p>
    <w:p w14:paraId="5F2E3625" w14:textId="77777777" w:rsidR="00112F15" w:rsidRDefault="00815ACD">
      <w:pPr>
        <w:pStyle w:val="Dz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  <w:t>Dodatkowe informacje i objaśnienia, obejmują w szczególności</w:t>
      </w:r>
    </w:p>
    <w:p w14:paraId="0AE004A2" w14:textId="77777777" w:rsidR="00112F15" w:rsidRDefault="00112F15">
      <w:pPr>
        <w:pStyle w:val="Art"/>
      </w:pPr>
    </w:p>
    <w:p w14:paraId="4F1E7080" w14:textId="77777777" w:rsidR="00112F15" w:rsidRDefault="00815ACD">
      <w:pPr>
        <w:pStyle w:val="Dz11"/>
        <w:spacing w:before="240" w:after="12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1.</w:t>
      </w:r>
    </w:p>
    <w:p w14:paraId="5DCEBA6F" w14:textId="77777777" w:rsidR="00112F15" w:rsidRDefault="00815ACD">
      <w:pPr>
        <w:pStyle w:val="Dz11"/>
        <w:spacing w:before="240" w:after="12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1</w:t>
      </w:r>
      <w:r>
        <w:rPr>
          <w:rFonts w:ascii="Arial" w:hAnsi="Arial" w:cs="Arial"/>
          <w:bCs w:val="0"/>
          <w:sz w:val="20"/>
          <w:szCs w:val="20"/>
        </w:rPr>
        <w:t xml:space="preserve">.1. Szczegółowy zakres zmian wartości grup rodzajowych środków trwałych, wartości niematerialnych i prawnych zawierający stan tych aktywów na początek roku obrotowego, </w:t>
      </w:r>
      <w:r>
        <w:rPr>
          <w:rFonts w:ascii="Arial" w:hAnsi="Arial" w:cs="Arial"/>
          <w:bCs w:val="0"/>
          <w:sz w:val="20"/>
          <w:szCs w:val="20"/>
        </w:rPr>
        <w:lastRenderedPageBreak/>
        <w:t>zwiększenia i zmniejszenia z tytułu: aktualizacji wartości, nabycia, rozchodu, przemiesz</w:t>
      </w:r>
      <w:r>
        <w:rPr>
          <w:rFonts w:ascii="Arial" w:hAnsi="Arial" w:cs="Arial"/>
          <w:bCs w:val="0"/>
          <w:sz w:val="20"/>
          <w:szCs w:val="20"/>
        </w:rPr>
        <w:t>czenia wewnętrznego oraz stan końcowy, a dla majątku amortyzowanego – podobne przedstawienie stanów i tytułów zmian dotychczasowej amortyzacji lub umorzenia</w:t>
      </w:r>
    </w:p>
    <w:p w14:paraId="5ED32FA8" w14:textId="77777777" w:rsidR="00112F15" w:rsidRDefault="00112F15">
      <w:pPr>
        <w:pStyle w:val="Nazwatabeli"/>
        <w:spacing w:before="120" w:after="120"/>
        <w:rPr>
          <w:rFonts w:ascii="Arial" w:hAnsi="Arial" w:cs="Arial"/>
          <w:sz w:val="20"/>
          <w:szCs w:val="20"/>
        </w:rPr>
      </w:pPr>
    </w:p>
    <w:p w14:paraId="66D8191E" w14:textId="77777777" w:rsidR="00112F15" w:rsidRDefault="00815ACD">
      <w:pPr>
        <w:pStyle w:val="Nazwatabeli"/>
        <w:spacing w:before="120" w:after="120"/>
      </w:pPr>
      <w:r>
        <w:object w:dxaOrig="1440" w:dyaOrig="1440" w14:anchorId="65B62A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iekt1" o:spid="_x0000_s1026" type="#_x0000_t75" style="position:absolute;left:0;text-align:left;margin-left:-36.5pt;margin-top:-3pt;width:532.85pt;height:325.05pt;z-index:251658240;visibility:visible;mso-wrap-style:square;mso-position-horizontal-relative:text;mso-position-vertical-relative:text">
            <v:imagedata r:id="rId6" o:title=""/>
            <w10:wrap type="square"/>
          </v:shape>
          <o:OLEObject Type="Embed" ProgID="Unknown" ShapeID="Obiekt1" DrawAspect="Content" ObjectID="_1712859977" r:id="rId7"/>
        </w:object>
      </w:r>
    </w:p>
    <w:p w14:paraId="0B4892FB" w14:textId="77777777" w:rsidR="00112F15" w:rsidRDefault="00815ACD">
      <w:pPr>
        <w:pStyle w:val="Nazwatabeli"/>
        <w:spacing w:before="120" w:after="120"/>
      </w:pPr>
      <w:r>
        <w:lastRenderedPageBreak/>
        <w:object w:dxaOrig="1440" w:dyaOrig="1440" w14:anchorId="189BBAF9">
          <v:shape id="Obiekt2" o:spid="_x0000_s1027" type="#_x0000_t75" style="position:absolute;left:0;text-align:left;margin-left:-30.1pt;margin-top:24pt;width:533.15pt;height:311.7pt;z-index:251659264;visibility:visible;mso-wrap-style:square;mso-position-horizontal-relative:text;mso-position-vertical-relative:text">
            <v:imagedata r:id="rId8" o:title=""/>
            <w10:wrap type="square"/>
          </v:shape>
          <o:OLEObject Type="Embed" ProgID="Unknown" ShapeID="Obiekt2" DrawAspect="Content" ObjectID="_1712859978" r:id="rId9"/>
        </w:object>
      </w:r>
    </w:p>
    <w:p w14:paraId="7A3B5D0E" w14:textId="77777777" w:rsidR="00112F15" w:rsidRDefault="00112F15">
      <w:pPr>
        <w:pStyle w:val="Nazwatabeli"/>
        <w:spacing w:before="120" w:after="120"/>
      </w:pPr>
    </w:p>
    <w:p w14:paraId="526DD2ED" w14:textId="77777777" w:rsidR="00112F15" w:rsidRDefault="00112F15">
      <w:pPr>
        <w:pStyle w:val="Art"/>
      </w:pPr>
    </w:p>
    <w:p w14:paraId="5A41BD37" w14:textId="77777777" w:rsidR="00112F15" w:rsidRDefault="00815ACD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1.2. Aktualna wartość rynkowa środków trwałych, w tym dóbr kultury- o ile jednostka dysponuje takimi informacjami</w:t>
      </w:r>
    </w:p>
    <w:p w14:paraId="2704CF22" w14:textId="77777777" w:rsidR="00112F15" w:rsidRDefault="00112F15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</w:p>
    <w:p w14:paraId="7E8B1142" w14:textId="77777777" w:rsidR="00112F15" w:rsidRDefault="00815ACD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 DOTYCZY</w:t>
      </w:r>
    </w:p>
    <w:p w14:paraId="3821FCE0" w14:textId="77777777" w:rsidR="00112F15" w:rsidRDefault="00112F15">
      <w:pPr>
        <w:pStyle w:val="1"/>
        <w:ind w:left="227"/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07"/>
      </w:tblGrid>
      <w:tr w:rsidR="00112F15" w14:paraId="1086D0F3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E66F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E7A0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9A8C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Aktualna wartość rynkowa</w:t>
            </w:r>
          </w:p>
        </w:tc>
        <w:tc>
          <w:tcPr>
            <w:tcW w:w="170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9DA42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112F15" w14:paraId="4EDFC80A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AABE2" w14:textId="77777777" w:rsidR="00112F15" w:rsidRDefault="00815ACD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0BA04" w14:textId="77777777" w:rsidR="00112F15" w:rsidRDefault="00815ACD">
            <w:pPr>
              <w:pStyle w:val="Tabelarodek"/>
              <w:jc w:val="left"/>
            </w:pPr>
            <w:r>
              <w:t>Grunty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D1F25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934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6E16ABE6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0404" w14:textId="77777777" w:rsidR="00112F15" w:rsidRDefault="00815ACD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90C3B" w14:textId="77777777" w:rsidR="00112F15" w:rsidRDefault="00815ACD">
            <w:pPr>
              <w:pStyle w:val="Tabelarodek"/>
              <w:jc w:val="left"/>
            </w:pPr>
            <w:r>
              <w:t>Budynki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1A2A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71EE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01AC872C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7ABB" w14:textId="77777777" w:rsidR="00112F15" w:rsidRDefault="00815ACD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5297" w14:textId="77777777" w:rsidR="00112F15" w:rsidRDefault="00815ACD">
            <w:pPr>
              <w:pStyle w:val="Tabelarodek"/>
              <w:jc w:val="left"/>
            </w:pPr>
            <w:r>
              <w:t>Dobra kultury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F5209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ADB51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3E9AF6C1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672B" w14:textId="77777777" w:rsidR="00112F15" w:rsidRDefault="00112F15">
            <w:pPr>
              <w:pStyle w:val="Tabelarodek"/>
              <w:snapToGrid w:val="0"/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C1B4" w14:textId="77777777" w:rsidR="00112F15" w:rsidRDefault="00815ACD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E225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716B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14:paraId="59F91EA2" w14:textId="77777777" w:rsidR="00112F15" w:rsidRDefault="00112F15">
      <w:pPr>
        <w:pStyle w:val="Art"/>
        <w:spacing w:line="200" w:lineRule="atLeast"/>
        <w:ind w:firstLine="0"/>
        <w:rPr>
          <w:sz w:val="16"/>
          <w:szCs w:val="16"/>
        </w:rPr>
      </w:pPr>
    </w:p>
    <w:p w14:paraId="4519027F" w14:textId="77777777" w:rsidR="00112F15" w:rsidRDefault="00112F15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</w:p>
    <w:p w14:paraId="6B818D36" w14:textId="77777777" w:rsidR="00112F15" w:rsidRDefault="00815ACD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1.3. Kwota dokonanych w trakcie roku obrotowego odpisów aktualizujących  wartość aktywów trwałych odrębnie dla </w:t>
      </w:r>
      <w:r>
        <w:rPr>
          <w:rFonts w:ascii="Arial" w:hAnsi="Arial" w:cs="Arial"/>
          <w:b/>
          <w:bCs/>
          <w:sz w:val="20"/>
          <w:szCs w:val="20"/>
        </w:rPr>
        <w:t>długoterminowych aktywów niefinansowych oraz długoterminowych aktywów finansowych</w:t>
      </w:r>
    </w:p>
    <w:p w14:paraId="641350F8" w14:textId="77777777" w:rsidR="00112F15" w:rsidRDefault="00112F15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</w:p>
    <w:p w14:paraId="541619C7" w14:textId="77777777" w:rsidR="00112F15" w:rsidRDefault="00815ACD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 DOTYCZY</w:t>
      </w:r>
    </w:p>
    <w:p w14:paraId="6EE7BF68" w14:textId="77777777" w:rsidR="00112F15" w:rsidRDefault="00112F15">
      <w:pPr>
        <w:pStyle w:val="1"/>
        <w:ind w:left="227"/>
        <w:rPr>
          <w:rFonts w:ascii="Arial" w:hAnsi="Arial" w:cs="Arial"/>
          <w:sz w:val="20"/>
          <w:szCs w:val="20"/>
        </w:rPr>
      </w:pPr>
    </w:p>
    <w:tbl>
      <w:tblPr>
        <w:tblW w:w="9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112F15" w14:paraId="24F706D6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6E9FF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C728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43C7A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 odpisów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0B9DD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112F15" w14:paraId="62F4AE70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1862" w14:textId="77777777" w:rsidR="00112F15" w:rsidRDefault="00815ACD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3CE0" w14:textId="77777777" w:rsidR="00112F15" w:rsidRDefault="00815ACD">
            <w:pPr>
              <w:pStyle w:val="Tabelarodek"/>
              <w:jc w:val="left"/>
            </w:pPr>
            <w:r>
              <w:t>Długoterminowe aktywa niefinansowe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059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A2044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115B82D4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E171" w14:textId="77777777" w:rsidR="00112F15" w:rsidRDefault="00815ACD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99554" w14:textId="77777777" w:rsidR="00112F15" w:rsidRDefault="00815ACD">
            <w:pPr>
              <w:pStyle w:val="Tabelarodek"/>
              <w:jc w:val="left"/>
            </w:pPr>
            <w:r>
              <w:t>Długoterminowe aktywa finansowe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72DC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D365E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46D5432B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6A7D9" w14:textId="77777777" w:rsidR="00112F15" w:rsidRDefault="00112F15">
            <w:pPr>
              <w:pStyle w:val="Tabelarodek"/>
              <w:snapToGrid w:val="0"/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22FCF" w14:textId="77777777" w:rsidR="00112F15" w:rsidRDefault="00815ACD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FB55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6AB45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14:paraId="7E7E9EEF" w14:textId="77777777" w:rsidR="00112F15" w:rsidRDefault="00112F15">
      <w:pPr>
        <w:pStyle w:val="Art"/>
        <w:spacing w:line="200" w:lineRule="atLeast"/>
        <w:rPr>
          <w:sz w:val="16"/>
          <w:szCs w:val="16"/>
        </w:rPr>
      </w:pPr>
    </w:p>
    <w:p w14:paraId="5AA4409E" w14:textId="77777777" w:rsidR="00112F15" w:rsidRDefault="00112F15">
      <w:pPr>
        <w:pStyle w:val="1"/>
        <w:ind w:left="227"/>
        <w:rPr>
          <w:b/>
          <w:bCs/>
        </w:rPr>
      </w:pPr>
    </w:p>
    <w:p w14:paraId="6A4FC8BC" w14:textId="77777777" w:rsidR="00112F15" w:rsidRDefault="00112F15">
      <w:pPr>
        <w:pStyle w:val="1"/>
        <w:ind w:left="227"/>
        <w:rPr>
          <w:b/>
          <w:bCs/>
        </w:rPr>
      </w:pPr>
    </w:p>
    <w:p w14:paraId="11D4BE40" w14:textId="77777777" w:rsidR="00112F15" w:rsidRDefault="00815ACD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1.4. </w:t>
      </w:r>
      <w:r>
        <w:rPr>
          <w:rFonts w:ascii="Arial" w:hAnsi="Arial" w:cs="Arial"/>
          <w:b/>
          <w:bCs/>
          <w:sz w:val="20"/>
          <w:szCs w:val="20"/>
        </w:rPr>
        <w:t>Wartość gruntów użytkowanych wieczyście</w:t>
      </w:r>
    </w:p>
    <w:p w14:paraId="29934A95" w14:textId="77777777" w:rsidR="00112F15" w:rsidRDefault="00112F15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</w:p>
    <w:p w14:paraId="12A10BDA" w14:textId="77777777" w:rsidR="00112F15" w:rsidRDefault="00815ACD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 DOTYCZY</w:t>
      </w:r>
    </w:p>
    <w:p w14:paraId="475055E1" w14:textId="77777777" w:rsidR="00112F15" w:rsidRDefault="00112F15">
      <w:pPr>
        <w:pStyle w:val="Art"/>
      </w:pPr>
    </w:p>
    <w:tbl>
      <w:tblPr>
        <w:tblW w:w="9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1353"/>
        <w:gridCol w:w="1924"/>
        <w:gridCol w:w="1443"/>
        <w:gridCol w:w="1263"/>
        <w:gridCol w:w="1263"/>
        <w:gridCol w:w="1476"/>
      </w:tblGrid>
      <w:tr w:rsidR="00112F15" w14:paraId="5E13B587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7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FFB6E9A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3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BCF104B" w14:textId="77777777" w:rsidR="00112F15" w:rsidRDefault="00815ACD">
            <w:pPr>
              <w:pStyle w:val="Standard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Nazwa grupy rodzajowej </w:t>
            </w:r>
            <w:r>
              <w:rPr>
                <w:rFonts w:ascii="Mangal" w:hAnsi="Mangal" w:cs="Mangal"/>
                <w:b/>
                <w:bCs/>
                <w:sz w:val="14"/>
                <w:szCs w:val="14"/>
              </w:rPr>
              <w:t>składnika aktywów według układu w bilansie</w:t>
            </w:r>
          </w:p>
          <w:p w14:paraId="71B0DAF2" w14:textId="77777777" w:rsidR="00112F15" w:rsidRDefault="00112F15">
            <w:pPr>
              <w:pStyle w:val="Tabelarodek"/>
              <w:rPr>
                <w:b/>
                <w:bCs/>
              </w:rPr>
            </w:pPr>
          </w:p>
        </w:tc>
        <w:tc>
          <w:tcPr>
            <w:tcW w:w="192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8CC5D9E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4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038DC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początek roku obrotowego</w:t>
            </w:r>
          </w:p>
        </w:tc>
        <w:tc>
          <w:tcPr>
            <w:tcW w:w="252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C022E2F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Zmiany stanu w trakcie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roku obrotowego</w:t>
            </w:r>
          </w:p>
        </w:tc>
        <w:tc>
          <w:tcPr>
            <w:tcW w:w="14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AB287E1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koniec roku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obrotowego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(4 + 5 – </w:t>
            </w:r>
            <w:r>
              <w:rPr>
                <w:b/>
                <w:bCs/>
              </w:rPr>
              <w:t>6)</w:t>
            </w:r>
          </w:p>
        </w:tc>
      </w:tr>
      <w:tr w:rsidR="00112F15" w14:paraId="30C8082E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7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527E05F" w14:textId="77777777" w:rsidR="00112F15" w:rsidRDefault="00112F15"/>
        </w:tc>
        <w:tc>
          <w:tcPr>
            <w:tcW w:w="135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5D77EAB" w14:textId="77777777" w:rsidR="00112F15" w:rsidRDefault="00112F15"/>
        </w:tc>
        <w:tc>
          <w:tcPr>
            <w:tcW w:w="1924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233E03" w14:textId="77777777" w:rsidR="00112F15" w:rsidRDefault="00112F15"/>
        </w:tc>
        <w:tc>
          <w:tcPr>
            <w:tcW w:w="144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E0ED567" w14:textId="77777777" w:rsidR="00112F15" w:rsidRDefault="00112F15"/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A1DA1DE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zwiększenia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DD78622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zmniejszenia</w:t>
            </w:r>
          </w:p>
        </w:tc>
        <w:tc>
          <w:tcPr>
            <w:tcW w:w="147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041A0F1" w14:textId="77777777" w:rsidR="00112F15" w:rsidRDefault="00112F15"/>
        </w:tc>
      </w:tr>
      <w:tr w:rsidR="00112F15" w14:paraId="5BB7A15B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EEA342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9C696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43764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DDB6F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A7FE93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E31A8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3D538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12F15" w14:paraId="1B05D411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7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EB5FBFF" w14:textId="77777777" w:rsidR="00112F15" w:rsidRDefault="00815ACD">
            <w:pPr>
              <w:pStyle w:val="Tabelarodek"/>
            </w:pPr>
            <w:r>
              <w:t>1.</w:t>
            </w:r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6913A9C" w14:textId="77777777" w:rsidR="00112F15" w:rsidRDefault="00815ACD">
            <w:pPr>
              <w:pStyle w:val="Standard"/>
              <w:spacing w:line="100" w:lineRule="atLeast"/>
            </w:pPr>
            <w:r>
              <w:rPr>
                <w:rFonts w:ascii="Arial" w:hAnsi="Arial" w:cs="Helvetica"/>
                <w:color w:val="00000A"/>
                <w:sz w:val="14"/>
                <w:szCs w:val="14"/>
              </w:rPr>
              <w:t xml:space="preserve">Łączna wartość gruntów </w:t>
            </w:r>
            <w:r>
              <w:rPr>
                <w:rFonts w:ascii="Mangal" w:hAnsi="Mangal" w:cs="Helvetica"/>
                <w:color w:val="00000A"/>
                <w:sz w:val="14"/>
                <w:szCs w:val="14"/>
              </w:rPr>
              <w:t>użytkowanych wieczyście ustalona na podstawie dokumentów</w:t>
            </w:r>
          </w:p>
          <w:p w14:paraId="5C822566" w14:textId="77777777" w:rsidR="00112F15" w:rsidRDefault="00112F15">
            <w:pPr>
              <w:pStyle w:val="Brakstyluakapitowego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14"/>
                <w:szCs w:val="1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7E192C6" w14:textId="77777777" w:rsidR="00112F15" w:rsidRDefault="00815ACD">
            <w:pPr>
              <w:pStyle w:val="Tabelarodek"/>
              <w:jc w:val="left"/>
            </w:pPr>
            <w:r>
              <w:t>Powierzchnia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3C86BC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ADC8850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966542F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5B850EF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0042E6CE" w14:textId="77777777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75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9A55197" w14:textId="77777777" w:rsidR="00112F15" w:rsidRDefault="00112F15"/>
        </w:tc>
        <w:tc>
          <w:tcPr>
            <w:tcW w:w="1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637D748" w14:textId="77777777" w:rsidR="00112F15" w:rsidRDefault="00112F15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74AE5A9" w14:textId="77777777" w:rsidR="00112F15" w:rsidRDefault="00815ACD">
            <w:pPr>
              <w:pStyle w:val="Tabelarodek"/>
              <w:jc w:val="left"/>
            </w:pPr>
            <w:r>
              <w:t>Wartość (zł)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F594B93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535AB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5D8D735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C4F048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642A67C7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7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9D2EDA" w14:textId="77777777" w:rsidR="00112F15" w:rsidRDefault="00815ACD">
            <w:pPr>
              <w:pStyle w:val="Tabelarodek"/>
            </w:pPr>
            <w:r>
              <w:t>2.</w:t>
            </w:r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61B15A6" w14:textId="77777777" w:rsidR="00112F15" w:rsidRDefault="00815ACD">
            <w:pPr>
              <w:pStyle w:val="Standard"/>
              <w:spacing w:line="100" w:lineRule="atLeast"/>
            </w:pPr>
            <w:r>
              <w:rPr>
                <w:rFonts w:ascii="Arial" w:hAnsi="Arial" w:cs="Helvetica"/>
                <w:color w:val="00000A"/>
                <w:sz w:val="14"/>
                <w:szCs w:val="14"/>
              </w:rPr>
              <w:t xml:space="preserve">Łączna wartość gruntów </w:t>
            </w:r>
            <w:r>
              <w:rPr>
                <w:rFonts w:ascii="Mangal" w:hAnsi="Mangal" w:cs="Helvetica"/>
                <w:color w:val="00000A"/>
                <w:sz w:val="14"/>
                <w:szCs w:val="14"/>
              </w:rPr>
              <w:t>użytkowanych wieczyście</w:t>
            </w:r>
            <w:r>
              <w:rPr>
                <w:rFonts w:ascii="Mangal" w:hAnsi="Mangal" w:cs="Helvetica"/>
                <w:color w:val="00000A"/>
                <w:sz w:val="19"/>
                <w:szCs w:val="14"/>
              </w:rPr>
              <w:t xml:space="preserve"> </w:t>
            </w:r>
            <w:r>
              <w:rPr>
                <w:rFonts w:ascii="Arial" w:hAnsi="Arial" w:cs="Helvetica"/>
                <w:color w:val="00000A"/>
                <w:sz w:val="14"/>
                <w:szCs w:val="14"/>
              </w:rPr>
              <w:t xml:space="preserve">ustalona na </w:t>
            </w:r>
            <w:r>
              <w:rPr>
                <w:rFonts w:ascii="Mangal" w:hAnsi="Mangal" w:cs="Helvetica"/>
                <w:color w:val="00000A"/>
                <w:sz w:val="14"/>
                <w:szCs w:val="14"/>
              </w:rPr>
              <w:t>podstawie szacunku</w:t>
            </w:r>
          </w:p>
          <w:p w14:paraId="781A48DC" w14:textId="77777777" w:rsidR="00112F15" w:rsidRDefault="00112F15">
            <w:pPr>
              <w:pStyle w:val="Brakstyluakapitowego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14"/>
                <w:szCs w:val="1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6A0BAC" w14:textId="77777777" w:rsidR="00112F15" w:rsidRDefault="00815ACD">
            <w:pPr>
              <w:pStyle w:val="Tabelarodek"/>
              <w:jc w:val="left"/>
            </w:pPr>
            <w:r>
              <w:t>Powierzchnia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64E80C1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CAE3996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2E428A7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5F85D91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3431EEBE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75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9DC30E8" w14:textId="77777777" w:rsidR="00112F15" w:rsidRDefault="00112F15"/>
        </w:tc>
        <w:tc>
          <w:tcPr>
            <w:tcW w:w="1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F4D188A" w14:textId="77777777" w:rsidR="00112F15" w:rsidRDefault="00112F15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BB31AF4" w14:textId="77777777" w:rsidR="00112F15" w:rsidRDefault="00815ACD">
            <w:pPr>
              <w:pStyle w:val="Tabelarodek"/>
              <w:jc w:val="left"/>
            </w:pPr>
            <w:r>
              <w:t>Wartość (zł)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11E0504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7B34665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3A03F4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5A91FB3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14:paraId="7AA0CB42" w14:textId="77777777" w:rsidR="00112F15" w:rsidRDefault="00112F15">
      <w:pPr>
        <w:pStyle w:val="Art"/>
        <w:spacing w:line="180" w:lineRule="atLeast"/>
        <w:rPr>
          <w:sz w:val="16"/>
          <w:szCs w:val="16"/>
        </w:rPr>
      </w:pPr>
    </w:p>
    <w:p w14:paraId="05A293D3" w14:textId="77777777" w:rsidR="00112F15" w:rsidRDefault="00112F15">
      <w:pPr>
        <w:pStyle w:val="Art"/>
      </w:pPr>
    </w:p>
    <w:p w14:paraId="490DA80B" w14:textId="77777777" w:rsidR="00112F15" w:rsidRDefault="00112F15">
      <w:pPr>
        <w:pStyle w:val="Art"/>
      </w:pPr>
    </w:p>
    <w:p w14:paraId="2BF49626" w14:textId="77777777" w:rsidR="00112F15" w:rsidRDefault="00815ACD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1.5. Wartość nieamortyzowanych lub nieumarzanych przez jednostkę środków trwałych, używanych na podstawie umów najmu, dzierżawy i innych umów, w tym z tytułu umów leasingu</w:t>
      </w:r>
    </w:p>
    <w:p w14:paraId="6130F5B6" w14:textId="77777777" w:rsidR="00112F15" w:rsidRDefault="00112F15">
      <w:pPr>
        <w:pStyle w:val="Artbezakapit"/>
        <w:rPr>
          <w:rFonts w:ascii="Arial" w:hAnsi="Arial" w:cs="Arial"/>
          <w:b/>
          <w:bCs/>
          <w:sz w:val="20"/>
          <w:szCs w:val="20"/>
        </w:rPr>
      </w:pPr>
    </w:p>
    <w:p w14:paraId="2E4F3304" w14:textId="77777777" w:rsidR="00112F15" w:rsidRDefault="00815ACD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NIE </w:t>
      </w:r>
      <w:r>
        <w:rPr>
          <w:rFonts w:ascii="Arial" w:hAnsi="Arial" w:cs="Arial"/>
          <w:b/>
          <w:bCs/>
          <w:sz w:val="20"/>
          <w:szCs w:val="20"/>
        </w:rPr>
        <w:t>DOTYCZY</w:t>
      </w:r>
    </w:p>
    <w:p w14:paraId="2F64E982" w14:textId="77777777" w:rsidR="00112F15" w:rsidRDefault="00112F15">
      <w:pPr>
        <w:pStyle w:val="Art"/>
        <w:rPr>
          <w:rFonts w:ascii="Arial" w:hAnsi="Arial" w:cs="Arial"/>
          <w:sz w:val="20"/>
          <w:szCs w:val="20"/>
        </w:rPr>
      </w:pPr>
    </w:p>
    <w:p w14:paraId="4D5EFDE3" w14:textId="77777777" w:rsidR="00112F15" w:rsidRDefault="00112F15">
      <w:pPr>
        <w:pStyle w:val="Art"/>
      </w:pPr>
    </w:p>
    <w:tbl>
      <w:tblPr>
        <w:tblW w:w="9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1724"/>
        <w:gridCol w:w="1725"/>
        <w:gridCol w:w="1725"/>
        <w:gridCol w:w="1725"/>
        <w:gridCol w:w="1743"/>
      </w:tblGrid>
      <w:tr w:rsidR="00112F15" w14:paraId="613E8BC8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03EC940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2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3BB89A6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2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9C6047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Stan na początek roku obrotowego</w:t>
            </w:r>
          </w:p>
        </w:tc>
        <w:tc>
          <w:tcPr>
            <w:tcW w:w="345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6263565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Zmiany w trakcie roku obrotowego</w:t>
            </w:r>
          </w:p>
        </w:tc>
        <w:tc>
          <w:tcPr>
            <w:tcW w:w="17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DB46F8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Stan na koniec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roku obrotowego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(3 + 4 – 5)</w:t>
            </w:r>
          </w:p>
        </w:tc>
      </w:tr>
      <w:tr w:rsidR="00112F15" w14:paraId="7FD851A1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3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8562E1" w14:textId="77777777" w:rsidR="00112F15" w:rsidRDefault="00112F15"/>
        </w:tc>
        <w:tc>
          <w:tcPr>
            <w:tcW w:w="1724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32F28CF" w14:textId="77777777" w:rsidR="00112F15" w:rsidRDefault="00112F15"/>
        </w:tc>
        <w:tc>
          <w:tcPr>
            <w:tcW w:w="172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33D433A" w14:textId="77777777" w:rsidR="00112F15" w:rsidRDefault="00112F15"/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048BA20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zwiększenia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1191DFC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zmniejszenia</w:t>
            </w:r>
          </w:p>
        </w:tc>
        <w:tc>
          <w:tcPr>
            <w:tcW w:w="174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BA04DDF" w14:textId="77777777" w:rsidR="00112F15" w:rsidRDefault="00112F15"/>
        </w:tc>
      </w:tr>
      <w:tr w:rsidR="00112F15" w14:paraId="1B017D75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083CD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8D221D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62C026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25755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8D3671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6E495E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12F15" w14:paraId="29942D79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36B0F8" w14:textId="77777777" w:rsidR="00112F15" w:rsidRDefault="00815ACD">
            <w:pPr>
              <w:pStyle w:val="Tabelarodek"/>
            </w:pPr>
            <w:r>
              <w:t>1.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42FEE2B" w14:textId="77777777" w:rsidR="00112F15" w:rsidRDefault="00815ACD">
            <w:pPr>
              <w:pStyle w:val="Brakstyluakapitowego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A"/>
                <w:sz w:val="14"/>
                <w:szCs w:val="14"/>
              </w:rPr>
              <w:t>Grunty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D09374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B5ACF3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5B897A8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59ED668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1BD30C7F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4A13EB1" w14:textId="77777777" w:rsidR="00112F15" w:rsidRDefault="00815ACD">
            <w:pPr>
              <w:pStyle w:val="Tabelarodek"/>
            </w:pPr>
            <w:r>
              <w:t>2.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8EEEDEF" w14:textId="77777777" w:rsidR="00112F15" w:rsidRDefault="00815ACD">
            <w:pPr>
              <w:pStyle w:val="Brakstyluakapitowego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A"/>
                <w:sz w:val="14"/>
                <w:szCs w:val="14"/>
              </w:rPr>
              <w:t>Budynki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12AB74C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EC6D7C6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D506F76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1D10C56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6C353C0B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A932208" w14:textId="77777777" w:rsidR="00112F15" w:rsidRDefault="00112F15">
            <w:pPr>
              <w:pStyle w:val="Tabelarodek"/>
              <w:snapToGrid w:val="0"/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98D41BB" w14:textId="77777777" w:rsidR="00112F15" w:rsidRDefault="00815ACD">
            <w:pPr>
              <w:pStyle w:val="Brakstyluakapitowego"/>
              <w:spacing w:line="100" w:lineRule="atLeas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B1F7EF2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255E5DB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45FB12B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61C7158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14:paraId="514D7498" w14:textId="77777777" w:rsidR="00112F15" w:rsidRDefault="00112F15">
      <w:pPr>
        <w:pStyle w:val="Art"/>
        <w:spacing w:line="160" w:lineRule="atLeast"/>
        <w:rPr>
          <w:sz w:val="14"/>
          <w:szCs w:val="14"/>
        </w:rPr>
      </w:pPr>
    </w:p>
    <w:p w14:paraId="237EDC23" w14:textId="77777777" w:rsidR="00112F15" w:rsidRDefault="00112F15">
      <w:pPr>
        <w:pStyle w:val="Art"/>
      </w:pPr>
    </w:p>
    <w:p w14:paraId="54CFFA4A" w14:textId="77777777" w:rsidR="00112F15" w:rsidRDefault="00112F15">
      <w:pPr>
        <w:pStyle w:val="Art"/>
      </w:pPr>
    </w:p>
    <w:p w14:paraId="49C1BEFA" w14:textId="77777777" w:rsidR="00112F15" w:rsidRDefault="00815ACD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1.6. Liczba oraz </w:t>
      </w:r>
      <w:r>
        <w:rPr>
          <w:rFonts w:ascii="Arial" w:hAnsi="Arial" w:cs="Arial"/>
          <w:b/>
          <w:bCs/>
          <w:sz w:val="20"/>
          <w:szCs w:val="20"/>
        </w:rPr>
        <w:t>wartość posiadanych papierów wartościowych, w tym akcji i udziałów oraz dłużnych papierów wartościowych</w:t>
      </w:r>
    </w:p>
    <w:p w14:paraId="28C84B59" w14:textId="77777777" w:rsidR="00112F15" w:rsidRDefault="00112F15">
      <w:pPr>
        <w:pStyle w:val="Artbezakapit"/>
        <w:rPr>
          <w:rFonts w:ascii="Arial" w:hAnsi="Arial" w:cs="Arial"/>
          <w:b/>
          <w:bCs/>
          <w:sz w:val="20"/>
          <w:szCs w:val="20"/>
        </w:rPr>
      </w:pPr>
    </w:p>
    <w:p w14:paraId="26FF5699" w14:textId="77777777" w:rsidR="00112F15" w:rsidRDefault="00815ACD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 DOTYCZY</w:t>
      </w:r>
    </w:p>
    <w:p w14:paraId="2CA9E714" w14:textId="77777777" w:rsidR="00112F15" w:rsidRDefault="00112F15">
      <w:pPr>
        <w:pStyle w:val="Art"/>
      </w:pPr>
    </w:p>
    <w:p w14:paraId="0D12A649" w14:textId="77777777" w:rsidR="00112F15" w:rsidRDefault="00112F15">
      <w:pPr>
        <w:pStyle w:val="Art"/>
      </w:pPr>
    </w:p>
    <w:p w14:paraId="1F8204F4" w14:textId="77777777" w:rsidR="00112F15" w:rsidRDefault="00112F15">
      <w:pPr>
        <w:pStyle w:val="Art"/>
      </w:pPr>
    </w:p>
    <w:tbl>
      <w:tblPr>
        <w:tblW w:w="9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"/>
        <w:gridCol w:w="3156"/>
        <w:gridCol w:w="1112"/>
        <w:gridCol w:w="1112"/>
        <w:gridCol w:w="1112"/>
        <w:gridCol w:w="1112"/>
        <w:gridCol w:w="1132"/>
      </w:tblGrid>
      <w:tr w:rsidR="00112F15" w14:paraId="796938A5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4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A04D496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1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65C776E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1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45E70E2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</w:p>
        </w:tc>
        <w:tc>
          <w:tcPr>
            <w:tcW w:w="11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1D513C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Stan na początek roku obrotowego</w:t>
            </w:r>
          </w:p>
        </w:tc>
        <w:tc>
          <w:tcPr>
            <w:tcW w:w="11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C26169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Zwiększenia</w:t>
            </w:r>
          </w:p>
        </w:tc>
        <w:tc>
          <w:tcPr>
            <w:tcW w:w="11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51FC139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Zmniejszenia</w:t>
            </w:r>
          </w:p>
        </w:tc>
        <w:tc>
          <w:tcPr>
            <w:tcW w:w="11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E449DDF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 xml:space="preserve">Stan na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koniec roku obrotowego</w:t>
            </w:r>
          </w:p>
        </w:tc>
      </w:tr>
      <w:tr w:rsidR="00112F15" w14:paraId="262161E6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AEFA77" w14:textId="77777777" w:rsidR="00112F15" w:rsidRDefault="00815ACD">
            <w:pPr>
              <w:pStyle w:val="Tabelarodek"/>
            </w:pPr>
            <w:r>
              <w:t>1.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7CB900E" w14:textId="77777777" w:rsidR="00112F15" w:rsidRDefault="00815ACD">
            <w:pPr>
              <w:pStyle w:val="Tabelarodek"/>
              <w:jc w:val="left"/>
            </w:pPr>
            <w:r>
              <w:t xml:space="preserve">Akcje i </w:t>
            </w:r>
            <w:r>
              <w:t>udziały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624759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057E823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7717981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4F2E31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3ABEFF4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4BA1FCD1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9B56A93" w14:textId="77777777" w:rsidR="00112F15" w:rsidRDefault="00815ACD">
            <w:pPr>
              <w:pStyle w:val="Tabelarodek"/>
            </w:pPr>
            <w:r>
              <w:t>2.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FC6882E" w14:textId="77777777" w:rsidR="00112F15" w:rsidRDefault="00815ACD">
            <w:pPr>
              <w:pStyle w:val="Tabelarodek"/>
              <w:jc w:val="left"/>
            </w:pPr>
            <w:r>
              <w:t>Dłużne papiery wartościowe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E633370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EB92ABA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0A8EFA6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BFE711F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46867C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13F945B8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6CB97E" w14:textId="77777777" w:rsidR="00112F15" w:rsidRDefault="00112F15">
            <w:pPr>
              <w:pStyle w:val="Tabelarodek"/>
              <w:snapToGrid w:val="0"/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614C8E8" w14:textId="77777777" w:rsidR="00112F15" w:rsidRDefault="00815ACD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66C0D3F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A452717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9F98B34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55E084E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3717DF0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14:paraId="5CF45C0A" w14:textId="77777777" w:rsidR="00112F15" w:rsidRDefault="00112F15">
      <w:pPr>
        <w:pStyle w:val="Art"/>
        <w:spacing w:line="200" w:lineRule="atLeast"/>
        <w:rPr>
          <w:sz w:val="16"/>
          <w:szCs w:val="16"/>
        </w:rPr>
      </w:pPr>
    </w:p>
    <w:p w14:paraId="257BCE51" w14:textId="77777777" w:rsidR="00112F15" w:rsidRDefault="00112F15">
      <w:pPr>
        <w:pStyle w:val="Artbezakapit"/>
        <w:rPr>
          <w:b/>
          <w:bCs/>
        </w:rPr>
      </w:pPr>
    </w:p>
    <w:p w14:paraId="19A6B55F" w14:textId="77777777" w:rsidR="00112F15" w:rsidRDefault="00815ACD">
      <w:pPr>
        <w:pStyle w:val="Artbezakapit"/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1.7. Dane o odpisach aktualizujących wartość należności, ze wskazaniem stanu na początek roku obrotowego, zwiększeniach, wykorzystaniu, rozwiązaniu i stanie na koniec roku </w:t>
      </w:r>
      <w:r>
        <w:rPr>
          <w:rFonts w:ascii="Arial" w:hAnsi="Arial" w:cs="Arial"/>
          <w:b/>
          <w:bCs/>
          <w:sz w:val="20"/>
          <w:szCs w:val="20"/>
        </w:rPr>
        <w:t>obrotowego z uwzględnieniem należności finansowych jednostek samorządu terytorialnego (stan pożyczek zagrożonych)</w:t>
      </w:r>
    </w:p>
    <w:p w14:paraId="2B88BCFA" w14:textId="77777777" w:rsidR="00112F15" w:rsidRDefault="00112F15">
      <w:pPr>
        <w:pStyle w:val="Art"/>
        <w:rPr>
          <w:rFonts w:ascii="Arial" w:hAnsi="Arial" w:cs="Arial"/>
          <w:sz w:val="20"/>
          <w:szCs w:val="20"/>
        </w:rPr>
      </w:pPr>
    </w:p>
    <w:p w14:paraId="37C696E4" w14:textId="77777777" w:rsidR="00112F15" w:rsidRDefault="00815ACD">
      <w:pPr>
        <w:pStyle w:val="Ar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8977B06" w14:textId="77777777" w:rsidR="00112F15" w:rsidRDefault="00112F15">
      <w:pPr>
        <w:pStyle w:val="Art"/>
      </w:pPr>
    </w:p>
    <w:p w14:paraId="465778FC" w14:textId="77777777" w:rsidR="00112F15" w:rsidRDefault="00112F15">
      <w:pPr>
        <w:pStyle w:val="Art"/>
      </w:pPr>
    </w:p>
    <w:tbl>
      <w:tblPr>
        <w:tblW w:w="9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1441"/>
        <w:gridCol w:w="1442"/>
        <w:gridCol w:w="1442"/>
        <w:gridCol w:w="1443"/>
        <w:gridCol w:w="1444"/>
        <w:gridCol w:w="1459"/>
      </w:tblGrid>
      <w:tr w:rsidR="00112F15" w14:paraId="2FF1C447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4C9334A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44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5C16C42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należności</w:t>
            </w:r>
          </w:p>
        </w:tc>
        <w:tc>
          <w:tcPr>
            <w:tcW w:w="144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862F9AA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początek roku obrotowego</w:t>
            </w:r>
          </w:p>
        </w:tc>
        <w:tc>
          <w:tcPr>
            <w:tcW w:w="432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810D8DC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Zmiany stanu odpisów w ciągu roku obrotowego</w:t>
            </w:r>
          </w:p>
        </w:tc>
        <w:tc>
          <w:tcPr>
            <w:tcW w:w="14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95C2B32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koniec roku </w:t>
            </w:r>
            <w:r>
              <w:rPr>
                <w:b/>
                <w:bCs/>
              </w:rPr>
              <w:t>obrotowego</w:t>
            </w:r>
          </w:p>
        </w:tc>
      </w:tr>
      <w:tr w:rsidR="00112F15" w14:paraId="4E4D3EEC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4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903AA96" w14:textId="77777777" w:rsidR="00112F15" w:rsidRDefault="00112F15"/>
        </w:tc>
        <w:tc>
          <w:tcPr>
            <w:tcW w:w="144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CB431AE" w14:textId="77777777" w:rsidR="00112F15" w:rsidRDefault="00112F15"/>
        </w:tc>
        <w:tc>
          <w:tcPr>
            <w:tcW w:w="144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2BD59" w14:textId="77777777" w:rsidR="00112F15" w:rsidRDefault="00112F15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D0B5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zwiększenia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6D46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wykorzystanie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CEC7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Uznane za zbędne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E728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1BD7EC65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3CA51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252C16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93DB4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109F1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73D6F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CD831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4E95DD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12F15" w14:paraId="38C5CA67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5949F82" w14:textId="77777777" w:rsidR="00112F15" w:rsidRDefault="00815ACD">
            <w:pPr>
              <w:pStyle w:val="Tabelatekst"/>
              <w:jc w:val="center"/>
            </w:pPr>
            <w:r>
              <w:t>1.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1B80D46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CE22879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B376F1E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8AE9E7A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027A39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017B69F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6EF56382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6F2A6B0" w14:textId="77777777" w:rsidR="00112F15" w:rsidRDefault="00815ACD">
            <w:pPr>
              <w:pStyle w:val="Tabelatekst"/>
              <w:jc w:val="center"/>
            </w:pPr>
            <w:r>
              <w:t>2.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5F17C89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C43825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ED0785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4465C13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A4707D0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2039845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00D80BF0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6F76743" w14:textId="77777777" w:rsidR="00112F15" w:rsidRDefault="00815ACD">
            <w:pPr>
              <w:pStyle w:val="Tabelatekst"/>
              <w:jc w:val="center"/>
            </w:pPr>
            <w:r>
              <w:t>3.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C416B0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4B4B947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4348D78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F2402AC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3873E4E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66DE431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61129A14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B4EAB62" w14:textId="77777777" w:rsidR="00112F15" w:rsidRDefault="00815ACD">
            <w:pPr>
              <w:pStyle w:val="Tabelatekst"/>
              <w:jc w:val="center"/>
            </w:pPr>
            <w:r>
              <w:t>4.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411CD76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A03D474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FFA1C8A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925AF07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5B871AA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FED6398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6D1772DC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1ADE5A2" w14:textId="77777777" w:rsidR="00112F15" w:rsidRDefault="00112F15">
            <w:pPr>
              <w:pStyle w:val="Tabelatekst"/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74F2EB3" w14:textId="77777777" w:rsidR="00112F15" w:rsidRDefault="00815ACD">
            <w:pPr>
              <w:pStyle w:val="Brakstyluakapitowego"/>
              <w:spacing w:line="100" w:lineRule="atLeas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BF615F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0732E9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F38CD5E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2B55E2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68A9232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14:paraId="379E54F0" w14:textId="77777777" w:rsidR="00112F15" w:rsidRDefault="00112F15">
      <w:pPr>
        <w:pStyle w:val="Art"/>
      </w:pPr>
    </w:p>
    <w:p w14:paraId="502D4E22" w14:textId="77777777" w:rsidR="00112F15" w:rsidRDefault="00112F15">
      <w:pPr>
        <w:pStyle w:val="Art"/>
      </w:pPr>
    </w:p>
    <w:p w14:paraId="751B4B1C" w14:textId="77777777" w:rsidR="00112F15" w:rsidRDefault="00112F15">
      <w:pPr>
        <w:pStyle w:val="Artbezakapit"/>
        <w:rPr>
          <w:b/>
          <w:bCs/>
        </w:rPr>
      </w:pPr>
    </w:p>
    <w:p w14:paraId="331D6C6E" w14:textId="77777777" w:rsidR="00112F15" w:rsidRDefault="00112F15">
      <w:pPr>
        <w:pStyle w:val="Artbezakapit"/>
        <w:rPr>
          <w:b/>
          <w:bCs/>
        </w:rPr>
      </w:pPr>
    </w:p>
    <w:p w14:paraId="0AD58A29" w14:textId="77777777" w:rsidR="00112F15" w:rsidRDefault="00112F15">
      <w:pPr>
        <w:pStyle w:val="Artbezakapit"/>
        <w:rPr>
          <w:b/>
          <w:bCs/>
        </w:rPr>
      </w:pPr>
    </w:p>
    <w:p w14:paraId="3D220456" w14:textId="77777777" w:rsidR="00112F15" w:rsidRDefault="00815ACD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1.8. Dane o stanie rezerw według celu ich utworzenia na początek roku obrotowego, zwiększeniach, </w:t>
      </w:r>
      <w:r>
        <w:rPr>
          <w:rFonts w:ascii="Arial" w:hAnsi="Arial" w:cs="Arial"/>
          <w:b/>
          <w:bCs/>
          <w:sz w:val="20"/>
          <w:szCs w:val="20"/>
        </w:rPr>
        <w:t>wykorzystaniu, rozwiązaniu i stanie końcowym</w:t>
      </w:r>
    </w:p>
    <w:p w14:paraId="5D0D2EFB" w14:textId="77777777" w:rsidR="00112F15" w:rsidRDefault="00112F15">
      <w:pPr>
        <w:pStyle w:val="Artbezakapit"/>
        <w:rPr>
          <w:rFonts w:ascii="Arial" w:hAnsi="Arial" w:cs="Arial"/>
          <w:b/>
          <w:bCs/>
          <w:sz w:val="20"/>
          <w:szCs w:val="20"/>
        </w:rPr>
      </w:pPr>
    </w:p>
    <w:p w14:paraId="5DD047EC" w14:textId="77777777" w:rsidR="00112F15" w:rsidRDefault="00815ACD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 DOTYCZY</w:t>
      </w:r>
    </w:p>
    <w:p w14:paraId="1A64026D" w14:textId="77777777" w:rsidR="00112F15" w:rsidRDefault="00112F15">
      <w:pPr>
        <w:pStyle w:val="Art"/>
        <w:spacing w:before="120" w:after="6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2197"/>
        <w:gridCol w:w="1328"/>
        <w:gridCol w:w="1251"/>
        <w:gridCol w:w="1384"/>
        <w:gridCol w:w="1378"/>
        <w:gridCol w:w="1156"/>
      </w:tblGrid>
      <w:tr w:rsidR="00112F15" w14:paraId="6DC9EF7A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9BDD356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2614582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3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8B48010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początek roku obrotowego</w:t>
            </w:r>
          </w:p>
        </w:tc>
        <w:tc>
          <w:tcPr>
            <w:tcW w:w="12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FA1DEF9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Zwiększenie w ciągu roku</w:t>
            </w:r>
          </w:p>
        </w:tc>
        <w:tc>
          <w:tcPr>
            <w:tcW w:w="13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FF3C55B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Wykorzystanie w ciągu roku*</w:t>
            </w:r>
          </w:p>
        </w:tc>
        <w:tc>
          <w:tcPr>
            <w:tcW w:w="13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E7182B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Rozwiązanie w ciągu roku**</w:t>
            </w:r>
          </w:p>
        </w:tc>
        <w:tc>
          <w:tcPr>
            <w:tcW w:w="11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D96D083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koniec roku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obrotowego</w:t>
            </w:r>
          </w:p>
        </w:tc>
      </w:tr>
      <w:tr w:rsidR="00112F15" w14:paraId="031EF514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51CDE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61731A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96911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9062A1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48FD6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EB3F2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3A3562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12F15" w14:paraId="5A3026D3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5ACB923" w14:textId="77777777" w:rsidR="00112F15" w:rsidRDefault="00815ACD">
            <w:pPr>
              <w:pStyle w:val="Tabelatekst"/>
              <w:jc w:val="center"/>
            </w:pPr>
            <w:r>
              <w:t>1.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474862" w14:textId="77777777" w:rsidR="00112F15" w:rsidRDefault="00815ACD">
            <w:pPr>
              <w:pStyle w:val="Tabelatekst"/>
            </w:pPr>
            <w:r>
              <w:t>Rezerwy długoterminowe ogółem na pozostałe koszty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FB0D22F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D7C3534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1120DE4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CABC35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47290F7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33768D89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44E575B" w14:textId="77777777" w:rsidR="00112F15" w:rsidRDefault="00815ACD">
            <w:pPr>
              <w:pStyle w:val="Tabelatekst"/>
              <w:jc w:val="center"/>
            </w:pPr>
            <w:r>
              <w:t>2.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C79E459" w14:textId="77777777" w:rsidR="00112F15" w:rsidRDefault="00815ACD">
            <w:pPr>
              <w:pStyle w:val="Tabelatekst"/>
            </w:pPr>
            <w:r>
              <w:t>Rezerwy krótkoterminowe ogółem na pozostałe koszty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B39FD33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B389AE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4B5D7AA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F1F6D8C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3BA7710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1B8C0482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62089BF" w14:textId="77777777" w:rsidR="00112F15" w:rsidRDefault="00815ACD">
            <w:pPr>
              <w:pStyle w:val="Tabelatekst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9516172" w14:textId="77777777" w:rsidR="00112F15" w:rsidRDefault="00815ACD">
            <w:pPr>
              <w:pStyle w:val="Tabelatekst"/>
              <w:rPr>
                <w:b/>
              </w:rPr>
            </w:pPr>
            <w:r>
              <w:rPr>
                <w:b/>
              </w:rPr>
              <w:t>Ogółem rezerwy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2140BF6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61BA307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D4A0209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B3CD97A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86FFEBB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14:paraId="6595A805" w14:textId="77777777" w:rsidR="00112F15" w:rsidRDefault="00112F15">
      <w:pPr>
        <w:pStyle w:val="Art"/>
        <w:ind w:firstLine="0"/>
        <w:rPr>
          <w:sz w:val="20"/>
          <w:szCs w:val="20"/>
        </w:rPr>
      </w:pPr>
    </w:p>
    <w:p w14:paraId="395BBBE2" w14:textId="77777777" w:rsidR="00112F15" w:rsidRDefault="00112F15">
      <w:pPr>
        <w:pStyle w:val="1"/>
        <w:ind w:left="227"/>
        <w:rPr>
          <w:sz w:val="16"/>
          <w:szCs w:val="16"/>
        </w:rPr>
      </w:pPr>
    </w:p>
    <w:p w14:paraId="0F438E71" w14:textId="77777777" w:rsidR="00112F15" w:rsidRDefault="00112F15">
      <w:pPr>
        <w:pStyle w:val="Artbezakapit"/>
        <w:rPr>
          <w:b/>
          <w:bCs/>
        </w:rPr>
      </w:pPr>
    </w:p>
    <w:p w14:paraId="2DBC4783" w14:textId="77777777" w:rsidR="00112F15" w:rsidRDefault="00112F15">
      <w:pPr>
        <w:pStyle w:val="Artbezakapit"/>
        <w:rPr>
          <w:rFonts w:ascii="Arial" w:hAnsi="Arial" w:cs="Arial"/>
          <w:b/>
          <w:bCs/>
          <w:sz w:val="20"/>
          <w:szCs w:val="20"/>
        </w:rPr>
      </w:pPr>
    </w:p>
    <w:p w14:paraId="2B104ADA" w14:textId="77777777" w:rsidR="00112F15" w:rsidRDefault="00112F15">
      <w:pPr>
        <w:pStyle w:val="Artbezakapit"/>
        <w:rPr>
          <w:rFonts w:ascii="Arial" w:hAnsi="Arial" w:cs="Arial"/>
          <w:b/>
          <w:bCs/>
          <w:sz w:val="20"/>
          <w:szCs w:val="20"/>
        </w:rPr>
      </w:pPr>
    </w:p>
    <w:p w14:paraId="2B145401" w14:textId="77777777" w:rsidR="00112F15" w:rsidRDefault="00815ACD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1.9. Podział zobowiązań długoterminowych według pozycji bilansu o pozostałym od dnia bilansowego, </w:t>
      </w:r>
      <w:r>
        <w:rPr>
          <w:rFonts w:ascii="Arial" w:hAnsi="Arial" w:cs="Arial"/>
          <w:b/>
          <w:bCs/>
          <w:sz w:val="20"/>
          <w:szCs w:val="20"/>
        </w:rPr>
        <w:t>przewidywanym umową, okresie spłaty:</w:t>
      </w:r>
    </w:p>
    <w:p w14:paraId="45E776CA" w14:textId="77777777" w:rsidR="00112F15" w:rsidRDefault="00112F15">
      <w:pPr>
        <w:pStyle w:val="Art"/>
        <w:ind w:firstLine="0"/>
      </w:pPr>
    </w:p>
    <w:p w14:paraId="5BC507B6" w14:textId="77777777" w:rsidR="00112F15" w:rsidRDefault="00815ACD">
      <w:pPr>
        <w:pStyle w:val="Art"/>
        <w:ind w:firstLine="0"/>
      </w:pPr>
      <w:r>
        <w:t>NIE DOTYCZY</w:t>
      </w:r>
    </w:p>
    <w:p w14:paraId="30C5B346" w14:textId="77777777" w:rsidR="00112F15" w:rsidRDefault="00112F15">
      <w:pPr>
        <w:pStyle w:val="Art"/>
      </w:pPr>
    </w:p>
    <w:p w14:paraId="2B7B5C52" w14:textId="77777777" w:rsidR="00112F15" w:rsidRDefault="00112F15">
      <w:pPr>
        <w:pStyle w:val="Art"/>
      </w:pPr>
    </w:p>
    <w:p w14:paraId="3691921A" w14:textId="77777777" w:rsidR="00112F15" w:rsidRDefault="00112F15">
      <w:pPr>
        <w:pStyle w:val="Art"/>
      </w:pPr>
    </w:p>
    <w:tbl>
      <w:tblPr>
        <w:tblW w:w="9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3025"/>
        <w:gridCol w:w="955"/>
        <w:gridCol w:w="806"/>
        <w:gridCol w:w="804"/>
        <w:gridCol w:w="646"/>
        <w:gridCol w:w="642"/>
        <w:gridCol w:w="665"/>
        <w:gridCol w:w="562"/>
        <w:gridCol w:w="585"/>
      </w:tblGrid>
      <w:tr w:rsidR="00112F15" w14:paraId="1D34C8F8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099EC0E5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2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2A5AD5AD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Zobowiązania</w:t>
            </w:r>
          </w:p>
        </w:tc>
        <w:tc>
          <w:tcPr>
            <w:tcW w:w="4518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79C4286F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wymagalności</w:t>
            </w:r>
          </w:p>
        </w:tc>
        <w:tc>
          <w:tcPr>
            <w:tcW w:w="1147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75501B50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</w:tr>
      <w:tr w:rsidR="00112F15" w14:paraId="3354C902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9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0D0EA425" w14:textId="77777777" w:rsidR="00112F15" w:rsidRDefault="00112F15"/>
        </w:tc>
        <w:tc>
          <w:tcPr>
            <w:tcW w:w="302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05BBCEF3" w14:textId="77777777" w:rsidR="00112F15" w:rsidRDefault="00112F15"/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10FEF9E7" w14:textId="77777777" w:rsidR="00112F15" w:rsidRDefault="00112F15">
            <w:pPr>
              <w:pStyle w:val="Tabelatekst"/>
              <w:snapToGrid w:val="0"/>
              <w:jc w:val="center"/>
            </w:pPr>
          </w:p>
          <w:p w14:paraId="20C5BA2F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powyżej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1 roku do 3 lat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5C845771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powyżej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3 lat do 5 lat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5C1B76FF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powyżej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5 lat</w:t>
            </w:r>
          </w:p>
        </w:tc>
        <w:tc>
          <w:tcPr>
            <w:tcW w:w="1147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24B0F286" w14:textId="77777777" w:rsidR="00112F15" w:rsidRDefault="00112F15"/>
        </w:tc>
      </w:tr>
      <w:tr w:rsidR="00112F15" w14:paraId="169FFA81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56B032C2" w14:textId="77777777" w:rsidR="00112F15" w:rsidRDefault="00112F15"/>
        </w:tc>
        <w:tc>
          <w:tcPr>
            <w:tcW w:w="302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40981EEF" w14:textId="77777777" w:rsidR="00112F15" w:rsidRDefault="00112F15"/>
        </w:tc>
        <w:tc>
          <w:tcPr>
            <w:tcW w:w="45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26E7843A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</w:p>
        </w:tc>
        <w:tc>
          <w:tcPr>
            <w:tcW w:w="1147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1AC870E6" w14:textId="77777777" w:rsidR="00112F15" w:rsidRDefault="00112F15"/>
        </w:tc>
      </w:tr>
      <w:tr w:rsidR="00112F15" w14:paraId="5C8A6AAB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1259DD44" w14:textId="77777777" w:rsidR="00112F15" w:rsidRDefault="00112F15"/>
        </w:tc>
        <w:tc>
          <w:tcPr>
            <w:tcW w:w="302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1C8A283C" w14:textId="77777777" w:rsidR="00112F15" w:rsidRDefault="00112F15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7B3657EA" w14:textId="77777777" w:rsidR="00112F15" w:rsidRDefault="00112F15">
            <w:pPr>
              <w:pStyle w:val="Tabelatekst"/>
              <w:snapToGrid w:val="0"/>
              <w:jc w:val="center"/>
              <w:rPr>
                <w:b/>
                <w:bCs/>
              </w:rPr>
            </w:pPr>
          </w:p>
          <w:p w14:paraId="6ED7AF34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</w:t>
            </w:r>
          </w:p>
          <w:p w14:paraId="63696030" w14:textId="77777777" w:rsidR="00112F15" w:rsidRDefault="00112F15">
            <w:pPr>
              <w:pStyle w:val="Tabelatekst"/>
              <w:jc w:val="center"/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5C9C0CD8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BZ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69A59A86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112601A4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BZ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7A19A6D3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4521D9F9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BZ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3EB3FFE5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1A6CD740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BZ</w:t>
            </w:r>
          </w:p>
        </w:tc>
      </w:tr>
      <w:tr w:rsidR="00112F15" w14:paraId="157AA805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452B19B5" w14:textId="77777777" w:rsidR="00112F15" w:rsidRDefault="00112F15">
            <w:pPr>
              <w:pStyle w:val="Tabelatekst"/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21860AB3" w14:textId="77777777" w:rsidR="00112F15" w:rsidRDefault="00815ACD">
            <w:pPr>
              <w:pStyle w:val="Tabelaa"/>
            </w:pPr>
            <w:r>
              <w:t>a)</w:t>
            </w:r>
            <w:r>
              <w:tab/>
              <w:t>kredyty i pożyczki</w:t>
            </w:r>
          </w:p>
          <w:p w14:paraId="2E55359E" w14:textId="77777777" w:rsidR="00112F15" w:rsidRDefault="00815ACD">
            <w:pPr>
              <w:pStyle w:val="Tabelaa"/>
            </w:pPr>
            <w:r>
              <w:t>b)</w:t>
            </w:r>
            <w:r>
              <w:tab/>
              <w:t xml:space="preserve">z tytułu emisji </w:t>
            </w:r>
            <w:r>
              <w:t>dłużnych papierów wartościowych</w:t>
            </w:r>
          </w:p>
          <w:p w14:paraId="15F6B7E8" w14:textId="77777777" w:rsidR="00112F15" w:rsidRDefault="00815ACD">
            <w:pPr>
              <w:pStyle w:val="Tabelaa"/>
            </w:pPr>
            <w:r>
              <w:t>c)</w:t>
            </w:r>
            <w:r>
              <w:tab/>
              <w:t>inne zobowiązania finansowe (wekslowe)</w:t>
            </w:r>
          </w:p>
          <w:p w14:paraId="34F9FA07" w14:textId="77777777" w:rsidR="00112F15" w:rsidRDefault="00815ACD">
            <w:pPr>
              <w:pStyle w:val="Tabelaa"/>
            </w:pPr>
            <w:r>
              <w:t>d)</w:t>
            </w:r>
            <w:r>
              <w:tab/>
              <w:t>zobowiązania wobec budżetów</w:t>
            </w:r>
          </w:p>
          <w:p w14:paraId="74F9A19A" w14:textId="77777777" w:rsidR="00112F15" w:rsidRDefault="00815ACD">
            <w:pPr>
              <w:pStyle w:val="Tabelaa"/>
            </w:pPr>
            <w:r>
              <w:t>e)</w:t>
            </w:r>
            <w:r>
              <w:tab/>
              <w:t>z tytułu ubezpieczeń i innych świadczeń</w:t>
            </w:r>
          </w:p>
          <w:p w14:paraId="27B98097" w14:textId="77777777" w:rsidR="00112F15" w:rsidRDefault="00815ACD">
            <w:pPr>
              <w:pStyle w:val="Tabelaa"/>
            </w:pPr>
            <w:r>
              <w:t>g)</w:t>
            </w:r>
            <w:r>
              <w:tab/>
              <w:t>z tytułu wynagrodzeń</w:t>
            </w:r>
          </w:p>
          <w:p w14:paraId="1286ED36" w14:textId="77777777" w:rsidR="00112F15" w:rsidRDefault="00815ACD">
            <w:pPr>
              <w:pStyle w:val="Tabelaa"/>
            </w:pPr>
            <w:r>
              <w:t>h)</w:t>
            </w:r>
            <w:r>
              <w:tab/>
              <w:t>pozostałe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5D46E79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04305851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4DB8CC94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458D2999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5381B8A2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329507D4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1A5A15DA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0D050AC4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310C0BE2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1D8C7EBE" w14:textId="77777777" w:rsidR="00112F15" w:rsidRDefault="00112F15">
            <w:pPr>
              <w:pStyle w:val="Tabelatekst"/>
              <w:snapToGrid w:val="0"/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31E6F7F8" w14:textId="77777777" w:rsidR="00112F15" w:rsidRDefault="00815ACD">
            <w:pPr>
              <w:pStyle w:val="Tabelatekst"/>
            </w:pPr>
            <w:r>
              <w:t>Ogółem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04C3C0BC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64C5A564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0D66D6E8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3D4F3323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226989A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45D38205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5E2FE14A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6DE2CE2A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14:paraId="3630A2DC" w14:textId="77777777" w:rsidR="00112F15" w:rsidRDefault="00112F15">
      <w:pPr>
        <w:pStyle w:val="Art"/>
      </w:pPr>
    </w:p>
    <w:p w14:paraId="02E4AFE3" w14:textId="77777777" w:rsidR="00112F15" w:rsidRDefault="00112F15">
      <w:pPr>
        <w:pStyle w:val="11"/>
        <w:ind w:left="340"/>
        <w:rPr>
          <w:b/>
          <w:bCs/>
        </w:rPr>
      </w:pPr>
    </w:p>
    <w:p w14:paraId="1A3C4267" w14:textId="77777777" w:rsidR="00112F15" w:rsidRDefault="00112F15">
      <w:pPr>
        <w:pStyle w:val="11"/>
        <w:ind w:left="340"/>
        <w:rPr>
          <w:b/>
          <w:bCs/>
        </w:rPr>
      </w:pPr>
    </w:p>
    <w:p w14:paraId="14CC1FF9" w14:textId="77777777" w:rsidR="00112F15" w:rsidRDefault="00815ACD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1.10. Kwota zobowiązań w </w:t>
      </w:r>
      <w:r>
        <w:rPr>
          <w:rFonts w:ascii="Arial" w:hAnsi="Arial" w:cs="Arial"/>
          <w:b/>
          <w:bCs/>
          <w:sz w:val="20"/>
          <w:szCs w:val="20"/>
        </w:rPr>
        <w:t xml:space="preserve">sytuacji, gdy  jednostka kwalifikuje umowy leasingu zgodnie z przepisami podatkowymi (leasing operacyjny), a według przepisów o rachunkowości byłby to leasing finansowy lub zwrotny z podziałem na kwotę zobowiązań z tytułu leasingu finansowego lub leasingu </w:t>
      </w:r>
      <w:r>
        <w:rPr>
          <w:rFonts w:ascii="Arial" w:hAnsi="Arial" w:cs="Arial"/>
          <w:b/>
          <w:bCs/>
          <w:sz w:val="20"/>
          <w:szCs w:val="20"/>
        </w:rPr>
        <w:t>zwrotnego</w:t>
      </w:r>
    </w:p>
    <w:p w14:paraId="75F34090" w14:textId="77777777" w:rsidR="00112F15" w:rsidRDefault="00112F15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</w:p>
    <w:p w14:paraId="1000BB7E" w14:textId="77777777" w:rsidR="00112F15" w:rsidRDefault="00815ACD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 DOTYCZY</w:t>
      </w:r>
    </w:p>
    <w:p w14:paraId="072588E6" w14:textId="77777777" w:rsidR="00112F15" w:rsidRDefault="00112F15">
      <w:pPr>
        <w:pStyle w:val="Nazwatabeli"/>
        <w:spacing w:before="120" w:after="60"/>
        <w:rPr>
          <w:rFonts w:ascii="Arial" w:hAnsi="Arial" w:cs="Arial"/>
          <w:sz w:val="20"/>
          <w:szCs w:val="20"/>
        </w:rPr>
      </w:pPr>
    </w:p>
    <w:tbl>
      <w:tblPr>
        <w:tblW w:w="9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112F15" w14:paraId="347A9874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94E7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4858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3D6D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 zobowiązań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2FD3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112F15" w14:paraId="2BFED778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77C12" w14:textId="77777777" w:rsidR="00112F15" w:rsidRDefault="00815ACD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FA7E4" w14:textId="77777777" w:rsidR="00112F15" w:rsidRDefault="00815ACD">
            <w:pPr>
              <w:pStyle w:val="Tabelarodek"/>
              <w:jc w:val="left"/>
            </w:pPr>
            <w:r>
              <w:t>Zobowiązania z tytułu leasingu finansowego zgodnie z przepisami o rachunkowości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9824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16D67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17D24195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E245" w14:textId="77777777" w:rsidR="00112F15" w:rsidRDefault="00815ACD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5C71" w14:textId="77777777" w:rsidR="00112F15" w:rsidRDefault="00815ACD">
            <w:pPr>
              <w:pStyle w:val="Tabelarodek"/>
              <w:jc w:val="left"/>
            </w:pPr>
            <w:r>
              <w:t xml:space="preserve">Zobowiązania z tytułu leasingu zwrotnego zgodnie z przepisami o </w:t>
            </w:r>
            <w:r>
              <w:t>rachunkowości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19B2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6F71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3B0F2FB1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AAA99" w14:textId="77777777" w:rsidR="00112F15" w:rsidRDefault="00112F15">
            <w:pPr>
              <w:pStyle w:val="Tabelarodek"/>
              <w:snapToGrid w:val="0"/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95A3" w14:textId="77777777" w:rsidR="00112F15" w:rsidRDefault="00815ACD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50F9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B5A96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14:paraId="50A5753D" w14:textId="77777777" w:rsidR="00112F15" w:rsidRDefault="00112F15">
      <w:pPr>
        <w:pStyle w:val="Art"/>
        <w:spacing w:line="200" w:lineRule="atLeast"/>
        <w:rPr>
          <w:sz w:val="16"/>
          <w:szCs w:val="16"/>
        </w:rPr>
      </w:pPr>
    </w:p>
    <w:p w14:paraId="768F7A20" w14:textId="77777777" w:rsidR="00112F15" w:rsidRDefault="00112F15">
      <w:pPr>
        <w:pStyle w:val="11"/>
        <w:ind w:left="340"/>
        <w:rPr>
          <w:b/>
          <w:bCs/>
        </w:rPr>
      </w:pPr>
    </w:p>
    <w:p w14:paraId="794D1D13" w14:textId="77777777" w:rsidR="00112F15" w:rsidRDefault="00815ACD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1.11. Łączna kwota zobowiązań zabezpieczonych na majątku jednostki ze wskazaniem charakteru i formy tych zabezpieczeń</w:t>
      </w:r>
    </w:p>
    <w:p w14:paraId="1E61610F" w14:textId="77777777" w:rsidR="00112F15" w:rsidRDefault="00112F15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</w:p>
    <w:p w14:paraId="18D5395E" w14:textId="77777777" w:rsidR="00112F15" w:rsidRDefault="00815ACD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 DOTYCZY</w:t>
      </w:r>
    </w:p>
    <w:p w14:paraId="47069879" w14:textId="77777777" w:rsidR="00112F15" w:rsidRDefault="00112F15">
      <w:pPr>
        <w:pStyle w:val="Art"/>
      </w:pPr>
    </w:p>
    <w:p w14:paraId="6314452D" w14:textId="77777777" w:rsidR="00112F15" w:rsidRDefault="00112F15">
      <w:pPr>
        <w:pStyle w:val="Art"/>
      </w:pPr>
    </w:p>
    <w:tbl>
      <w:tblPr>
        <w:tblW w:w="9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1473"/>
        <w:gridCol w:w="898"/>
        <w:gridCol w:w="899"/>
        <w:gridCol w:w="898"/>
        <w:gridCol w:w="901"/>
        <w:gridCol w:w="897"/>
        <w:gridCol w:w="902"/>
        <w:gridCol w:w="896"/>
        <w:gridCol w:w="922"/>
      </w:tblGrid>
      <w:tr w:rsidR="00112F15" w14:paraId="4EC9174D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BAECCC8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47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BF2CAAF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zabezpieczenia</w:t>
            </w:r>
          </w:p>
        </w:tc>
        <w:tc>
          <w:tcPr>
            <w:tcW w:w="179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C564DA0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zobowiązania</w:t>
            </w:r>
          </w:p>
        </w:tc>
        <w:tc>
          <w:tcPr>
            <w:tcW w:w="179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5ECD9DB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zabezpieczenia</w:t>
            </w:r>
          </w:p>
        </w:tc>
        <w:tc>
          <w:tcPr>
            <w:tcW w:w="179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A6E5B29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 aktywach </w:t>
            </w:r>
            <w:r>
              <w:rPr>
                <w:b/>
                <w:bCs/>
              </w:rPr>
              <w:t>trwałych</w:t>
            </w:r>
          </w:p>
        </w:tc>
        <w:tc>
          <w:tcPr>
            <w:tcW w:w="181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6ABFB00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aktywach obrotowych</w:t>
            </w:r>
          </w:p>
        </w:tc>
      </w:tr>
      <w:tr w:rsidR="00112F15" w14:paraId="030E73F2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9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38FB8D2" w14:textId="77777777" w:rsidR="00112F15" w:rsidRDefault="00112F15"/>
        </w:tc>
        <w:tc>
          <w:tcPr>
            <w:tcW w:w="147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BB20D95" w14:textId="77777777" w:rsidR="00112F15" w:rsidRDefault="00112F1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8BFD6EF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początek roku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A56572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koniec roku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E3178FE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początek roku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AFB730D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koniec roku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B79B534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początek roku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72972EB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koniec roku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C2A71D8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początek roku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35E4874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koniec roku</w:t>
            </w:r>
          </w:p>
        </w:tc>
      </w:tr>
      <w:tr w:rsidR="00112F15" w14:paraId="38BC6186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C82AA4F" w14:textId="77777777" w:rsidR="00112F15" w:rsidRDefault="00815ACD">
            <w:pPr>
              <w:pStyle w:val="Tabelatekst"/>
              <w:jc w:val="center"/>
            </w:pPr>
            <w:r>
              <w:t>1.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BCC76AA" w14:textId="77777777" w:rsidR="00112F15" w:rsidRDefault="00815ACD">
            <w:pPr>
              <w:pStyle w:val="Tabelatekst"/>
            </w:pPr>
            <w:r>
              <w:t>Weksle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DF119B3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739582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3B7FE1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BA5CB0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26BBCB7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A339039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730A915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0D36452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07BD6F57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DF63350" w14:textId="77777777" w:rsidR="00112F15" w:rsidRDefault="00815ACD">
            <w:pPr>
              <w:pStyle w:val="Tabelatekst"/>
              <w:jc w:val="center"/>
            </w:pPr>
            <w:r>
              <w:t>2.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91B518A" w14:textId="77777777" w:rsidR="00112F15" w:rsidRDefault="00815ACD">
            <w:pPr>
              <w:pStyle w:val="Tabelatekst"/>
            </w:pPr>
            <w:r>
              <w:t>Hipoteka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13EDEF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F9B9248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E47D7A9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29197A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C3482B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2B4745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FE0C5F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D184935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5EADB452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9652477" w14:textId="77777777" w:rsidR="00112F15" w:rsidRDefault="00815ACD">
            <w:pPr>
              <w:pStyle w:val="Tabelatekst"/>
              <w:jc w:val="center"/>
            </w:pPr>
            <w:r>
              <w:t>3.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34A421" w14:textId="77777777" w:rsidR="00112F15" w:rsidRDefault="00815ACD">
            <w:pPr>
              <w:pStyle w:val="Tabelatekst"/>
            </w:pPr>
            <w:r>
              <w:t>Zastaw, w tym: zastaw skarbowy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89309F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81B2B2A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53B737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7A85AFF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0B7D450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758B549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2FA283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B7A5222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77295F4C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8EBA30D" w14:textId="77777777" w:rsidR="00112F15" w:rsidRDefault="00815ACD">
            <w:pPr>
              <w:pStyle w:val="Tabelatekst"/>
              <w:jc w:val="center"/>
            </w:pPr>
            <w:r>
              <w:t>4.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2DB0DD4" w14:textId="77777777" w:rsidR="00112F15" w:rsidRDefault="00815ACD">
            <w:pPr>
              <w:pStyle w:val="Tabelatekst"/>
            </w:pPr>
            <w:r>
              <w:t>Inne (gwarancja bankowa, kara umowna)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AE4B43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18A53F5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C3B957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AA288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FE2A348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9ED6DF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CA6216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C5D022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191C674A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939D67B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AE5E782" w14:textId="77777777" w:rsidR="00112F15" w:rsidRDefault="00815ACD">
            <w:pPr>
              <w:pStyle w:val="Tabelatekst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0EF09E5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D5B5B59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CC5846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E634154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0CE33CB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1A5CB63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0786A3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6904E65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14:paraId="71B33941" w14:textId="77777777" w:rsidR="00112F15" w:rsidRDefault="00112F15">
      <w:pPr>
        <w:pStyle w:val="Art"/>
      </w:pPr>
    </w:p>
    <w:p w14:paraId="03A8555F" w14:textId="77777777" w:rsidR="00112F15" w:rsidRDefault="00112F15">
      <w:pPr>
        <w:pStyle w:val="Art"/>
        <w:rPr>
          <w:b/>
          <w:bCs/>
        </w:rPr>
      </w:pPr>
    </w:p>
    <w:p w14:paraId="6BDFE092" w14:textId="77777777" w:rsidR="00112F15" w:rsidRDefault="00112F15">
      <w:pPr>
        <w:pStyle w:val="11"/>
        <w:ind w:left="340"/>
        <w:rPr>
          <w:b/>
          <w:bCs/>
        </w:rPr>
      </w:pPr>
    </w:p>
    <w:p w14:paraId="06B730B0" w14:textId="77777777" w:rsidR="00112F15" w:rsidRDefault="00815ACD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1.12. Łączna kwota zobowiązań warunkowych, w tym również udzielonych przez jednostkę gwarancji i poręczeń, także wekslowych, niewykazanych w bilansie ze wskazaniem zobowiązań </w:t>
      </w:r>
      <w:r>
        <w:rPr>
          <w:rFonts w:ascii="Arial" w:hAnsi="Arial" w:cs="Arial"/>
          <w:b/>
          <w:bCs/>
          <w:sz w:val="20"/>
          <w:szCs w:val="20"/>
        </w:rPr>
        <w:t>zabezpieczonych na majątku jednostki oraz charakteru i formy tych zabezpieczeń</w:t>
      </w:r>
    </w:p>
    <w:p w14:paraId="3CD375ED" w14:textId="77777777" w:rsidR="00112F15" w:rsidRDefault="00112F15">
      <w:pPr>
        <w:pStyle w:val="Art"/>
        <w:rPr>
          <w:rFonts w:ascii="Arial" w:hAnsi="Arial" w:cs="Arial"/>
          <w:sz w:val="20"/>
          <w:szCs w:val="20"/>
        </w:rPr>
      </w:pPr>
    </w:p>
    <w:p w14:paraId="175FE276" w14:textId="77777777" w:rsidR="00112F15" w:rsidRDefault="00815ACD">
      <w:pPr>
        <w:pStyle w:val="Ar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47F88C8" w14:textId="77777777" w:rsidR="00112F15" w:rsidRDefault="00112F15">
      <w:pPr>
        <w:pStyle w:val="Art"/>
      </w:pPr>
    </w:p>
    <w:tbl>
      <w:tblPr>
        <w:tblW w:w="9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3560"/>
        <w:gridCol w:w="2545"/>
        <w:gridCol w:w="2562"/>
      </w:tblGrid>
      <w:tr w:rsidR="00112F15" w14:paraId="2ABBE1CC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BAF382C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C0ACFD1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zobowiązania warunkowego</w:t>
            </w:r>
          </w:p>
        </w:tc>
        <w:tc>
          <w:tcPr>
            <w:tcW w:w="510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5D36AFA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</w:t>
            </w:r>
          </w:p>
        </w:tc>
      </w:tr>
      <w:tr w:rsidR="00112F15" w14:paraId="1480E291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8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4D214F2" w14:textId="77777777" w:rsidR="00112F15" w:rsidRDefault="00112F15"/>
        </w:tc>
        <w:tc>
          <w:tcPr>
            <w:tcW w:w="356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A7A467C" w14:textId="77777777" w:rsidR="00112F15" w:rsidRDefault="00112F15"/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FEEA9DD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początek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roku obrotowego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1F73A35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koniec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roku obrotowego</w:t>
            </w:r>
          </w:p>
        </w:tc>
      </w:tr>
      <w:tr w:rsidR="00112F15" w14:paraId="7E823843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F8089F3" w14:textId="77777777" w:rsidR="00112F15" w:rsidRDefault="00815ACD">
            <w:pPr>
              <w:pStyle w:val="Tabelatekst"/>
              <w:jc w:val="center"/>
            </w:pPr>
            <w:r>
              <w:t>1.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390EBC" w14:textId="77777777" w:rsidR="00112F15" w:rsidRDefault="00815ACD">
            <w:pPr>
              <w:pStyle w:val="Tabelatekst"/>
            </w:pPr>
            <w:r>
              <w:t>Udzielone gwarancje i poręczenia, w tym:</w:t>
            </w:r>
            <w:r>
              <w:br/>
            </w:r>
            <w:r>
              <w:t xml:space="preserve">udzielone dla </w:t>
            </w:r>
            <w:r>
              <w:t>jednostek powiązanych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4F72BDF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95AE14F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31A1337D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4B554C1" w14:textId="77777777" w:rsidR="00112F15" w:rsidRDefault="00815ACD">
            <w:pPr>
              <w:pStyle w:val="Tabelatekst"/>
              <w:jc w:val="center"/>
            </w:pPr>
            <w:r>
              <w:t>2.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B81580B" w14:textId="77777777" w:rsidR="00112F15" w:rsidRDefault="00815ACD">
            <w:pPr>
              <w:pStyle w:val="Tabelatekst"/>
            </w:pPr>
            <w:r>
              <w:t>Kaucje i wadia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C1B4F00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EB284E5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76CCE8DE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0410446" w14:textId="77777777" w:rsidR="00112F15" w:rsidRDefault="00815ACD">
            <w:pPr>
              <w:pStyle w:val="Tabelatekst"/>
              <w:jc w:val="center"/>
            </w:pPr>
            <w:r>
              <w:t>3.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94DBE4F" w14:textId="77777777" w:rsidR="00112F15" w:rsidRDefault="00815ACD">
            <w:pPr>
              <w:pStyle w:val="Tabelatekst"/>
            </w:pPr>
            <w:r>
              <w:t>Zawarte, lecz jeszcze niewykonane umowy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68A9E1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EE087F7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214DE7F2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E0E7A32" w14:textId="77777777" w:rsidR="00112F15" w:rsidRDefault="00815ACD">
            <w:pPr>
              <w:pStyle w:val="Tabelatekst"/>
              <w:jc w:val="center"/>
            </w:pPr>
            <w:r>
              <w:t>4.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C729937" w14:textId="77777777" w:rsidR="00112F15" w:rsidRDefault="00815ACD">
            <w:pPr>
              <w:pStyle w:val="Tabelatekst"/>
            </w:pPr>
            <w:r>
              <w:t>Nieuznane roszczenia wierzycieli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36CD701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1811D4E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4FD1F4CC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4C7E1A4" w14:textId="77777777" w:rsidR="00112F15" w:rsidRDefault="00815ACD">
            <w:pPr>
              <w:pStyle w:val="Tabelatekst"/>
              <w:jc w:val="center"/>
            </w:pPr>
            <w:r>
              <w:t>5.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28294B" w14:textId="77777777" w:rsidR="00112F15" w:rsidRDefault="00815ACD">
            <w:pPr>
              <w:pStyle w:val="Tabelatekst"/>
            </w:pPr>
            <w:r>
              <w:t>Inne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6C4FE7B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E63A586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6C469FEE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4A91E56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6FD961F" w14:textId="77777777" w:rsidR="00112F15" w:rsidRDefault="00815ACD">
            <w:pPr>
              <w:pStyle w:val="Tabelatekst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74E4AC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758A47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14:paraId="6C725B01" w14:textId="77777777" w:rsidR="00112F15" w:rsidRDefault="00112F15">
      <w:pPr>
        <w:pStyle w:val="11"/>
        <w:ind w:left="340"/>
        <w:rPr>
          <w:b/>
          <w:bCs/>
        </w:rPr>
      </w:pPr>
    </w:p>
    <w:p w14:paraId="7A1A24C7" w14:textId="77777777" w:rsidR="00112F15" w:rsidRDefault="00112F15">
      <w:pPr>
        <w:pStyle w:val="11"/>
        <w:ind w:left="340"/>
        <w:rPr>
          <w:b/>
          <w:bCs/>
        </w:rPr>
      </w:pPr>
    </w:p>
    <w:p w14:paraId="5801EA64" w14:textId="77777777" w:rsidR="00112F15" w:rsidRDefault="00112F15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</w:p>
    <w:p w14:paraId="5C89E128" w14:textId="77777777" w:rsidR="00112F15" w:rsidRDefault="00815ACD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1.13. Wykaz istotnych pozycji czynnych i biernych rozliczeń międzyokresowych, w tym kwotę </w:t>
      </w:r>
      <w:r>
        <w:rPr>
          <w:rFonts w:ascii="Arial" w:hAnsi="Arial" w:cs="Arial"/>
          <w:b/>
          <w:bCs/>
          <w:sz w:val="20"/>
          <w:szCs w:val="20"/>
        </w:rPr>
        <w:t>czynnych rozliczeń międzyokresowych kosztów stanowiących różnicę między wartością otrzymanych finansowych składników aktywów a zobowiązaniem zapłaty za nie</w:t>
      </w:r>
    </w:p>
    <w:p w14:paraId="308FABC6" w14:textId="77777777" w:rsidR="00112F15" w:rsidRDefault="00112F15">
      <w:pPr>
        <w:pStyle w:val="Art"/>
        <w:rPr>
          <w:rFonts w:ascii="Arial" w:hAnsi="Arial" w:cs="Arial"/>
          <w:sz w:val="20"/>
          <w:szCs w:val="20"/>
        </w:rPr>
      </w:pPr>
    </w:p>
    <w:p w14:paraId="12BDA885" w14:textId="77777777" w:rsidR="00112F15" w:rsidRDefault="00112F15">
      <w:pPr>
        <w:pStyle w:val="Art"/>
        <w:rPr>
          <w:rFonts w:ascii="Arial" w:hAnsi="Arial" w:cs="Arial"/>
          <w:sz w:val="20"/>
          <w:szCs w:val="20"/>
        </w:rPr>
      </w:pPr>
    </w:p>
    <w:p w14:paraId="10F6A4C6" w14:textId="77777777" w:rsidR="00112F15" w:rsidRDefault="00815ACD">
      <w:pPr>
        <w:pStyle w:val="Art"/>
      </w:pPr>
      <w:r>
        <w:t>NIE DOTYCZY</w:t>
      </w:r>
    </w:p>
    <w:p w14:paraId="611C0B15" w14:textId="77777777" w:rsidR="00112F15" w:rsidRDefault="00112F15">
      <w:pPr>
        <w:pStyle w:val="Art"/>
      </w:pPr>
    </w:p>
    <w:tbl>
      <w:tblPr>
        <w:tblW w:w="9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6036"/>
        <w:gridCol w:w="1310"/>
        <w:gridCol w:w="1328"/>
      </w:tblGrid>
      <w:tr w:rsidR="00112F15" w14:paraId="369EB735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0BE20597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603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78FD26FA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 (tytuły)</w:t>
            </w:r>
          </w:p>
        </w:tc>
        <w:tc>
          <w:tcPr>
            <w:tcW w:w="263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22CD3CB5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</w:p>
        </w:tc>
      </w:tr>
      <w:tr w:rsidR="00112F15" w14:paraId="2384CD23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01E742BA" w14:textId="77777777" w:rsidR="00112F15" w:rsidRDefault="00112F15"/>
        </w:tc>
        <w:tc>
          <w:tcPr>
            <w:tcW w:w="603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1FF77E36" w14:textId="77777777" w:rsidR="00112F15" w:rsidRDefault="00112F15"/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74B1B0A3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początek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roku obrotowego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14:paraId="5FD257F2" w14:textId="77777777" w:rsidR="00112F15" w:rsidRDefault="00815ACD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koniec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roku </w:t>
            </w:r>
            <w:r>
              <w:rPr>
                <w:b/>
                <w:bCs/>
              </w:rPr>
              <w:t>obrotowego</w:t>
            </w:r>
          </w:p>
        </w:tc>
      </w:tr>
      <w:tr w:rsidR="00112F15" w14:paraId="3D32F6D0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38BE729C" w14:textId="77777777" w:rsidR="00112F15" w:rsidRDefault="00815ACD">
            <w:pPr>
              <w:pStyle w:val="Tabelatekst"/>
              <w:spacing w:before="57"/>
              <w:jc w:val="center"/>
            </w:pPr>
            <w:r>
              <w:t>1.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7D3F9BAA" w14:textId="77777777" w:rsidR="00112F15" w:rsidRDefault="00815ACD">
            <w:pPr>
              <w:pStyle w:val="Tabelatekst"/>
              <w:spacing w:before="57"/>
            </w:pPr>
            <w:r>
              <w:rPr>
                <w:spacing w:val="-1"/>
              </w:rPr>
              <w:t>Ogółem czynne rozliczenia międzyokresowe kosztów,  w tym:</w:t>
            </w:r>
            <w:r>
              <w:br/>
            </w:r>
            <w:r>
              <w:rPr>
                <w:spacing w:val="-1"/>
              </w:rPr>
              <w:t>(należy wyszczególnić ważniejsze tytuły figurujące w księgach rachunkowych, np.:</w:t>
            </w:r>
          </w:p>
          <w:p w14:paraId="0C43D687" w14:textId="77777777" w:rsidR="00112F15" w:rsidRDefault="00815ACD">
            <w:pPr>
              <w:pStyle w:val="Tabelaa"/>
            </w:pPr>
            <w:r>
              <w:t>–</w:t>
            </w:r>
            <w:r>
              <w:tab/>
              <w:t>opłacone z góry czynsze</w:t>
            </w:r>
          </w:p>
          <w:p w14:paraId="21899FA2" w14:textId="77777777" w:rsidR="00112F15" w:rsidRDefault="00815ACD">
            <w:pPr>
              <w:pStyle w:val="Tabelaa"/>
            </w:pPr>
            <w:r>
              <w:t>–</w:t>
            </w:r>
            <w:r>
              <w:tab/>
              <w:t>prenumeraty</w:t>
            </w:r>
          </w:p>
          <w:p w14:paraId="37BDD23C" w14:textId="77777777" w:rsidR="00112F15" w:rsidRDefault="00815ACD">
            <w:pPr>
              <w:pStyle w:val="Tabelaa"/>
            </w:pPr>
            <w:r>
              <w:t>–</w:t>
            </w:r>
            <w:r>
              <w:tab/>
              <w:t>polisy ubezpieczenia osób i składników majątku)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08370D1C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42FE9F52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78557F5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67336439" w14:textId="77777777" w:rsidR="00112F15" w:rsidRDefault="00815ACD">
            <w:pPr>
              <w:pStyle w:val="Tabelatekst"/>
              <w:spacing w:before="57"/>
              <w:jc w:val="center"/>
            </w:pPr>
            <w:r>
              <w:t>2.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3998D6AB" w14:textId="77777777" w:rsidR="00112F15" w:rsidRDefault="00815ACD">
            <w:pPr>
              <w:pStyle w:val="Tabelatekst"/>
              <w:spacing w:before="57"/>
            </w:pPr>
            <w:r>
              <w:t>Ogółem rozliczenia międzyokresowe przychodów (pasywa bilansu)</w:t>
            </w:r>
          </w:p>
          <w:p w14:paraId="3770308B" w14:textId="77777777" w:rsidR="00112F15" w:rsidRDefault="00112F15">
            <w:pPr>
              <w:pStyle w:val="Tabelaa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660316D7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1F9027D9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50E1207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0302AF02" w14:textId="77777777" w:rsidR="00112F15" w:rsidRDefault="00112F15">
            <w:pPr>
              <w:pStyle w:val="Tabelatekst"/>
              <w:snapToGrid w:val="0"/>
              <w:spacing w:before="57"/>
              <w:jc w:val="center"/>
            </w:pP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19008C03" w14:textId="77777777" w:rsidR="00112F15" w:rsidRDefault="00815ACD">
            <w:pPr>
              <w:pStyle w:val="Tabelatekst"/>
              <w:spacing w:before="57"/>
            </w:pPr>
            <w:r>
              <w:t>Ogółem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45080FFB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6159E633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14:paraId="67A6A129" w14:textId="77777777" w:rsidR="00112F15" w:rsidRDefault="00112F15">
      <w:pPr>
        <w:pStyle w:val="Art"/>
      </w:pPr>
    </w:p>
    <w:p w14:paraId="7E81835F" w14:textId="77777777" w:rsidR="00112F15" w:rsidRDefault="00112F15">
      <w:pPr>
        <w:pStyle w:val="Art"/>
      </w:pPr>
    </w:p>
    <w:p w14:paraId="4999DFC7" w14:textId="77777777" w:rsidR="00112F15" w:rsidRDefault="00112F15">
      <w:pPr>
        <w:pStyle w:val="Art"/>
      </w:pPr>
    </w:p>
    <w:p w14:paraId="2F2AB055" w14:textId="77777777" w:rsidR="00112F15" w:rsidRDefault="00815ACD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1.14. Łączna kwota otrzymanych przez jednostkę gwarancji i poręczeń niewykazanych w bilansie</w:t>
      </w:r>
    </w:p>
    <w:p w14:paraId="13BB7AF5" w14:textId="77777777" w:rsidR="00112F15" w:rsidRDefault="00112F15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</w:p>
    <w:p w14:paraId="1A68C6D3" w14:textId="77777777" w:rsidR="00112F15" w:rsidRDefault="00815ACD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 DOTYCZY</w:t>
      </w:r>
    </w:p>
    <w:p w14:paraId="40A03A82" w14:textId="77777777" w:rsidR="00112F15" w:rsidRDefault="00112F15">
      <w:pPr>
        <w:pStyle w:val="Nazwatabeli"/>
        <w:spacing w:before="120" w:after="60"/>
      </w:pPr>
    </w:p>
    <w:tbl>
      <w:tblPr>
        <w:tblW w:w="9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112F15" w14:paraId="2247F593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16D5C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3DFD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C50A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6D7F8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112F15" w14:paraId="29C9D7FD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CFE2" w14:textId="77777777" w:rsidR="00112F15" w:rsidRDefault="00815ACD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7F5E1" w14:textId="77777777" w:rsidR="00112F15" w:rsidRDefault="00815ACD">
            <w:pPr>
              <w:pStyle w:val="Tabelarodek"/>
              <w:jc w:val="left"/>
            </w:pPr>
            <w:r>
              <w:t>Otrzymane gwarancje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9E57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5523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5A2B2F61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C832" w14:textId="77777777" w:rsidR="00112F15" w:rsidRDefault="00815ACD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00459" w14:textId="77777777" w:rsidR="00112F15" w:rsidRDefault="00815ACD">
            <w:pPr>
              <w:pStyle w:val="Tabelarodek"/>
              <w:jc w:val="left"/>
            </w:pPr>
            <w:r>
              <w:t>Otrzymane poręczenia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3B08A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84852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4CD0AD7A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581EA" w14:textId="77777777" w:rsidR="00112F15" w:rsidRDefault="00815ACD">
            <w:pPr>
              <w:pStyle w:val="Tabelarodek"/>
            </w:pPr>
            <w:r>
              <w:t>3.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DA81" w14:textId="77777777" w:rsidR="00112F15" w:rsidRDefault="00815ACD">
            <w:pPr>
              <w:pStyle w:val="Tabelarodek"/>
              <w:jc w:val="left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614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DAA07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14:paraId="7C9C007A" w14:textId="77777777" w:rsidR="00112F15" w:rsidRDefault="00112F15">
      <w:pPr>
        <w:pStyle w:val="Art"/>
        <w:spacing w:line="200" w:lineRule="atLeast"/>
        <w:rPr>
          <w:sz w:val="16"/>
          <w:szCs w:val="16"/>
        </w:rPr>
      </w:pPr>
    </w:p>
    <w:p w14:paraId="07CB3C63" w14:textId="77777777" w:rsidR="00112F15" w:rsidRDefault="00112F15">
      <w:pPr>
        <w:pStyle w:val="11"/>
        <w:ind w:left="340"/>
        <w:rPr>
          <w:b/>
          <w:bCs/>
        </w:rPr>
      </w:pPr>
    </w:p>
    <w:p w14:paraId="1AD86361" w14:textId="77777777" w:rsidR="00112F15" w:rsidRDefault="00112F15">
      <w:pPr>
        <w:pStyle w:val="11"/>
        <w:ind w:left="340"/>
        <w:rPr>
          <w:b/>
          <w:bCs/>
        </w:rPr>
      </w:pPr>
    </w:p>
    <w:p w14:paraId="7A6949AA" w14:textId="77777777" w:rsidR="00112F15" w:rsidRDefault="00112F15">
      <w:pPr>
        <w:pStyle w:val="11"/>
        <w:ind w:left="340"/>
        <w:rPr>
          <w:b/>
          <w:bCs/>
        </w:rPr>
      </w:pPr>
    </w:p>
    <w:p w14:paraId="343BFF43" w14:textId="77777777" w:rsidR="00112F15" w:rsidRDefault="00815ACD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1.15. Kwota wypłaconych środków pieniężnych na świadczenia pracownicze</w:t>
      </w:r>
    </w:p>
    <w:p w14:paraId="7CBC7498" w14:textId="77777777" w:rsidR="00112F15" w:rsidRDefault="00112F15">
      <w:pPr>
        <w:pStyle w:val="11"/>
        <w:ind w:left="340"/>
      </w:pPr>
    </w:p>
    <w:tbl>
      <w:tblPr>
        <w:tblW w:w="9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112F15" w14:paraId="3DF6B246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E174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1141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9DCF4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E5D87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112F15" w14:paraId="1EF9498C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040B" w14:textId="77777777" w:rsidR="00112F15" w:rsidRDefault="00815ACD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E0F5" w14:textId="77777777" w:rsidR="00112F15" w:rsidRDefault="00815ACD">
            <w:pPr>
              <w:pStyle w:val="Tabelarodek"/>
              <w:jc w:val="left"/>
            </w:pPr>
            <w:r>
              <w:t>Odprawy emerytalne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CB01" w14:textId="77777777" w:rsidR="00112F15" w:rsidRDefault="00815ACD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  <w:r>
              <w:rPr>
                <w:rFonts w:ascii="Helvetica" w:hAnsi="Helvetica" w:cs="Helvetica"/>
                <w:color w:val="00000A"/>
              </w:rPr>
              <w:t>15 120,00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BC173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1ADBD2A7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7417F" w14:textId="77777777" w:rsidR="00112F15" w:rsidRDefault="00815ACD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88379" w14:textId="77777777" w:rsidR="00112F15" w:rsidRDefault="00815ACD">
            <w:pPr>
              <w:pStyle w:val="Tabelarodek"/>
              <w:jc w:val="left"/>
            </w:pPr>
            <w:r>
              <w:t xml:space="preserve">Nagrody </w:t>
            </w:r>
            <w:r>
              <w:t>jubileuszowe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886BC" w14:textId="77777777" w:rsidR="00112F15" w:rsidRDefault="00815ACD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  <w:r>
              <w:rPr>
                <w:rFonts w:ascii="Helvetica" w:hAnsi="Helvetica" w:cs="Helvetica"/>
                <w:color w:val="00000A"/>
              </w:rPr>
              <w:t>56 963,00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5A29B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53A23F4D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08F0" w14:textId="77777777" w:rsidR="00112F15" w:rsidRDefault="00815ACD">
            <w:pPr>
              <w:pStyle w:val="Tabelarodek"/>
            </w:pPr>
            <w:r>
              <w:t>3.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C8D7" w14:textId="77777777" w:rsidR="00112F15" w:rsidRDefault="00815ACD">
            <w:pPr>
              <w:pStyle w:val="Tabelarodek"/>
              <w:jc w:val="left"/>
            </w:pPr>
            <w:r>
              <w:t>Inne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9815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050A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1E99A263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351C1" w14:textId="77777777" w:rsidR="00112F15" w:rsidRDefault="00815ACD">
            <w:pPr>
              <w:pStyle w:val="Tabelarodek"/>
            </w:pPr>
            <w:r>
              <w:t>4.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185B" w14:textId="77777777" w:rsidR="00112F15" w:rsidRDefault="00815ACD">
            <w:pPr>
              <w:pStyle w:val="Tabelarodek"/>
              <w:jc w:val="left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1A39" w14:textId="77777777" w:rsidR="00112F15" w:rsidRDefault="00815ACD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  <w:r>
              <w:rPr>
                <w:rFonts w:ascii="Helvetica" w:hAnsi="Helvetica" w:cs="Helvetica"/>
                <w:color w:val="00000A"/>
              </w:rPr>
              <w:t>72 083,00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DB44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14:paraId="06F76BE9" w14:textId="77777777" w:rsidR="00112F15" w:rsidRDefault="00112F15">
      <w:pPr>
        <w:pStyle w:val="Art"/>
        <w:spacing w:line="200" w:lineRule="atLeast"/>
        <w:rPr>
          <w:sz w:val="16"/>
          <w:szCs w:val="16"/>
        </w:rPr>
      </w:pPr>
    </w:p>
    <w:p w14:paraId="5CF3891B" w14:textId="77777777" w:rsidR="00112F15" w:rsidRDefault="00112F15">
      <w:pPr>
        <w:pStyle w:val="11"/>
        <w:ind w:left="340"/>
        <w:rPr>
          <w:b/>
          <w:bCs/>
        </w:rPr>
      </w:pPr>
    </w:p>
    <w:p w14:paraId="05DFCB3F" w14:textId="77777777" w:rsidR="00112F15" w:rsidRDefault="00112F15">
      <w:pPr>
        <w:pStyle w:val="11"/>
        <w:ind w:left="340"/>
        <w:rPr>
          <w:b/>
          <w:bCs/>
        </w:rPr>
      </w:pPr>
    </w:p>
    <w:p w14:paraId="7584DBB8" w14:textId="77777777" w:rsidR="00112F15" w:rsidRDefault="00815ACD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1.16. Inne informacje</w:t>
      </w:r>
    </w:p>
    <w:p w14:paraId="04EE05A7" w14:textId="77777777" w:rsidR="00112F15" w:rsidRDefault="00112F15">
      <w:pPr>
        <w:pStyle w:val="Art"/>
      </w:pPr>
    </w:p>
    <w:p w14:paraId="3A5B890C" w14:textId="77777777" w:rsidR="00112F15" w:rsidRDefault="00112F15">
      <w:pPr>
        <w:pStyle w:val="Art"/>
      </w:pPr>
    </w:p>
    <w:p w14:paraId="64A55FBC" w14:textId="77777777" w:rsidR="00112F15" w:rsidRDefault="00112F15">
      <w:pPr>
        <w:pStyle w:val="Art"/>
      </w:pPr>
    </w:p>
    <w:p w14:paraId="375688FD" w14:textId="77777777" w:rsidR="00112F15" w:rsidRDefault="00112F15">
      <w:pPr>
        <w:pStyle w:val="1"/>
        <w:ind w:left="0" w:firstLine="0"/>
        <w:rPr>
          <w:b/>
          <w:bCs/>
        </w:rPr>
      </w:pPr>
    </w:p>
    <w:p w14:paraId="0DD215A6" w14:textId="77777777" w:rsidR="00112F15" w:rsidRDefault="00112F15">
      <w:pPr>
        <w:pStyle w:val="1"/>
        <w:ind w:left="0" w:firstLine="0"/>
        <w:rPr>
          <w:b/>
          <w:bCs/>
        </w:rPr>
      </w:pPr>
    </w:p>
    <w:p w14:paraId="4F953C93" w14:textId="77777777" w:rsidR="00112F15" w:rsidRDefault="00112F15">
      <w:pPr>
        <w:pStyle w:val="1"/>
        <w:ind w:left="0" w:firstLine="0"/>
        <w:rPr>
          <w:b/>
          <w:bCs/>
        </w:rPr>
      </w:pPr>
    </w:p>
    <w:p w14:paraId="2B41A0E1" w14:textId="77777777" w:rsidR="00112F15" w:rsidRDefault="00112F15">
      <w:pPr>
        <w:pStyle w:val="1"/>
        <w:ind w:left="0" w:firstLine="0"/>
        <w:rPr>
          <w:b/>
          <w:bCs/>
        </w:rPr>
      </w:pPr>
    </w:p>
    <w:p w14:paraId="0FC5AA8A" w14:textId="77777777" w:rsidR="00112F15" w:rsidRDefault="00112F15">
      <w:pPr>
        <w:pStyle w:val="1"/>
        <w:ind w:left="0" w:firstLine="0"/>
        <w:rPr>
          <w:b/>
          <w:bCs/>
        </w:rPr>
      </w:pPr>
    </w:p>
    <w:p w14:paraId="2D2C1898" w14:textId="77777777" w:rsidR="00112F15" w:rsidRDefault="00112F15">
      <w:pPr>
        <w:pStyle w:val="1"/>
        <w:ind w:left="0" w:firstLine="0"/>
        <w:rPr>
          <w:b/>
          <w:bCs/>
        </w:rPr>
      </w:pPr>
    </w:p>
    <w:p w14:paraId="0FB85C5C" w14:textId="77777777" w:rsidR="00112F15" w:rsidRDefault="00112F15">
      <w:pPr>
        <w:pStyle w:val="1"/>
        <w:ind w:left="0" w:firstLine="0"/>
        <w:rPr>
          <w:b/>
          <w:bCs/>
        </w:rPr>
      </w:pPr>
    </w:p>
    <w:p w14:paraId="2EBBE06F" w14:textId="77777777" w:rsidR="00112F15" w:rsidRDefault="00112F15">
      <w:pPr>
        <w:pStyle w:val="1"/>
        <w:ind w:left="0" w:firstLine="0"/>
        <w:rPr>
          <w:b/>
          <w:bCs/>
        </w:rPr>
      </w:pPr>
    </w:p>
    <w:p w14:paraId="789DBFD6" w14:textId="77777777" w:rsidR="00112F15" w:rsidRDefault="00112F15">
      <w:pPr>
        <w:pStyle w:val="1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56D579D0" w14:textId="77777777" w:rsidR="00112F15" w:rsidRDefault="00815ACD">
      <w:pPr>
        <w:pStyle w:val="1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</w:p>
    <w:p w14:paraId="56AF112E" w14:textId="77777777" w:rsidR="00112F15" w:rsidRDefault="00112F15">
      <w:pPr>
        <w:pStyle w:val="1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1532EBC7" w14:textId="77777777" w:rsidR="00112F15" w:rsidRDefault="00815ACD">
      <w:pPr>
        <w:pStyle w:val="1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2.1. Wysokość odpisów aktualizujących wartość zapasów</w:t>
      </w:r>
    </w:p>
    <w:p w14:paraId="5D8BF181" w14:textId="77777777" w:rsidR="00112F15" w:rsidRDefault="00112F15">
      <w:pPr>
        <w:pStyle w:val="Art"/>
        <w:rPr>
          <w:rFonts w:ascii="Arial" w:hAnsi="Arial" w:cs="Arial"/>
          <w:sz w:val="20"/>
          <w:szCs w:val="20"/>
        </w:rPr>
      </w:pPr>
    </w:p>
    <w:p w14:paraId="5CBCD540" w14:textId="77777777" w:rsidR="00112F15" w:rsidRDefault="00815ACD">
      <w:pPr>
        <w:pStyle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34DEDF6" w14:textId="77777777" w:rsidR="00112F15" w:rsidRDefault="00112F15">
      <w:pPr>
        <w:pStyle w:val="Art"/>
        <w:rPr>
          <w:rFonts w:ascii="Arial" w:hAnsi="Arial" w:cs="Arial"/>
          <w:sz w:val="20"/>
          <w:szCs w:val="20"/>
        </w:rPr>
      </w:pPr>
    </w:p>
    <w:p w14:paraId="6FAEDDEA" w14:textId="77777777" w:rsidR="00112F15" w:rsidRDefault="00112F15">
      <w:pPr>
        <w:pStyle w:val="Art"/>
      </w:pPr>
    </w:p>
    <w:tbl>
      <w:tblPr>
        <w:tblW w:w="9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112F15" w14:paraId="6085C627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5B43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DD98E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E99E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1FB62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112F15" w14:paraId="3B85655E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A10F" w14:textId="77777777" w:rsidR="00112F15" w:rsidRDefault="00815ACD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27C96" w14:textId="77777777" w:rsidR="00112F15" w:rsidRDefault="00815ACD">
            <w:pPr>
              <w:pStyle w:val="Tabelarodek"/>
              <w:jc w:val="left"/>
            </w:pPr>
            <w:r>
              <w:t>Materiały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72E9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F4E8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2C709477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A171" w14:textId="77777777" w:rsidR="00112F15" w:rsidRDefault="00815ACD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41ACF" w14:textId="77777777" w:rsidR="00112F15" w:rsidRDefault="00815ACD">
            <w:pPr>
              <w:pStyle w:val="Tabelarodek"/>
              <w:jc w:val="left"/>
            </w:pPr>
            <w:r>
              <w:t>Towary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537DD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E9C3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51683CD3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5CAA" w14:textId="77777777" w:rsidR="00112F15" w:rsidRDefault="00112F15">
            <w:pPr>
              <w:pStyle w:val="Tabelarodek"/>
              <w:snapToGrid w:val="0"/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D1E0" w14:textId="77777777" w:rsidR="00112F15" w:rsidRDefault="00815ACD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82C6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BE45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14:paraId="26F249BD" w14:textId="77777777" w:rsidR="00112F15" w:rsidRDefault="00112F15">
      <w:pPr>
        <w:pStyle w:val="Art"/>
      </w:pPr>
    </w:p>
    <w:p w14:paraId="38039E65" w14:textId="77777777" w:rsidR="00112F15" w:rsidRDefault="00112F15">
      <w:pPr>
        <w:pStyle w:val="Artbezakapit"/>
        <w:rPr>
          <w:rFonts w:ascii="Arial" w:hAnsi="Arial" w:cs="Arial"/>
          <w:b/>
          <w:bCs/>
          <w:sz w:val="20"/>
          <w:szCs w:val="20"/>
        </w:rPr>
      </w:pPr>
    </w:p>
    <w:p w14:paraId="7DE04E25" w14:textId="77777777" w:rsidR="00112F15" w:rsidRDefault="00112F15">
      <w:pPr>
        <w:pStyle w:val="Artbezakapit"/>
        <w:rPr>
          <w:rFonts w:ascii="Arial" w:hAnsi="Arial" w:cs="Arial"/>
          <w:b/>
          <w:bCs/>
          <w:sz w:val="20"/>
          <w:szCs w:val="20"/>
        </w:rPr>
      </w:pPr>
    </w:p>
    <w:p w14:paraId="2122F042" w14:textId="77777777" w:rsidR="00112F15" w:rsidRDefault="00815ACD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2.2. Koszt wytworzenia środków trwałych w budowie; w tym odsetki oraz różnice kursowe, które powiększyły koszt wytworzenia środków trwałych w budowie w roku obrotowym</w:t>
      </w:r>
    </w:p>
    <w:p w14:paraId="5467CF8B" w14:textId="77777777" w:rsidR="00112F15" w:rsidRDefault="00112F15">
      <w:pPr>
        <w:pStyle w:val="Art"/>
        <w:rPr>
          <w:rFonts w:ascii="Arial" w:hAnsi="Arial" w:cs="Arial"/>
          <w:sz w:val="20"/>
          <w:szCs w:val="20"/>
        </w:rPr>
      </w:pPr>
    </w:p>
    <w:p w14:paraId="2D91F0D9" w14:textId="77777777" w:rsidR="00112F15" w:rsidRDefault="00815ACD">
      <w:pPr>
        <w:pStyle w:val="Ar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2D17725" w14:textId="77777777" w:rsidR="00112F15" w:rsidRDefault="00112F15">
      <w:pPr>
        <w:pStyle w:val="Art"/>
      </w:pPr>
    </w:p>
    <w:tbl>
      <w:tblPr>
        <w:tblW w:w="9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112F15" w14:paraId="459D499E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96C4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8AC41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054A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8D342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112F15" w14:paraId="143E9E56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068B" w14:textId="77777777" w:rsidR="00112F15" w:rsidRDefault="00815ACD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DDBAA" w14:textId="77777777" w:rsidR="00112F15" w:rsidRDefault="00815ACD">
            <w:pPr>
              <w:pStyle w:val="Tabelarodek"/>
              <w:jc w:val="left"/>
            </w:pPr>
            <w:r>
              <w:t xml:space="preserve">Koszt </w:t>
            </w:r>
            <w:r>
              <w:t>wytworzenia środków trwałych w budowie, w tym:</w:t>
            </w:r>
          </w:p>
          <w:p w14:paraId="6010C214" w14:textId="77777777" w:rsidR="00112F15" w:rsidRDefault="00815ACD">
            <w:pPr>
              <w:pStyle w:val="Tabelarodek"/>
              <w:jc w:val="left"/>
            </w:pPr>
            <w:r>
              <w:t>- odsetki, które powiększyły ten koszt w roku obrotowym</w:t>
            </w:r>
          </w:p>
          <w:p w14:paraId="7DF25161" w14:textId="77777777" w:rsidR="00112F15" w:rsidRDefault="00815ACD">
            <w:pPr>
              <w:pStyle w:val="Tabelarodek"/>
              <w:jc w:val="left"/>
            </w:pPr>
            <w:r>
              <w:t>- różnice kursowe, które powiększyły ten koszt w roku obrotowym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E774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38AA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14:paraId="414D1525" w14:textId="77777777" w:rsidR="00112F15" w:rsidRDefault="00112F15">
      <w:pPr>
        <w:pStyle w:val="Art"/>
      </w:pPr>
    </w:p>
    <w:p w14:paraId="4531065B" w14:textId="77777777" w:rsidR="00112F15" w:rsidRDefault="00112F15">
      <w:pPr>
        <w:pStyle w:val="Artbezakapit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04CDA9B4" w14:textId="77777777" w:rsidR="00112F15" w:rsidRDefault="00815ACD">
      <w:pPr>
        <w:pStyle w:val="Artbezakapit"/>
        <w:rPr>
          <w:rFonts w:ascii="Arial" w:hAnsi="Arial" w:cs="Arial"/>
          <w:b/>
          <w:bCs/>
          <w:spacing w:val="-3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 xml:space="preserve">2.3. Kwota i charakter poszczególnych pozycji przychodów lub kosztów o </w:t>
      </w:r>
      <w:r>
        <w:rPr>
          <w:rFonts w:ascii="Arial" w:hAnsi="Arial" w:cs="Arial"/>
          <w:b/>
          <w:bCs/>
          <w:spacing w:val="-3"/>
          <w:sz w:val="20"/>
          <w:szCs w:val="20"/>
        </w:rPr>
        <w:t>nadzwyczajnej wartości lub które wystąpiły incydentalnie</w:t>
      </w:r>
    </w:p>
    <w:p w14:paraId="60F40D4B" w14:textId="77777777" w:rsidR="00112F15" w:rsidRDefault="00112F15">
      <w:pPr>
        <w:pStyle w:val="Artbezakapit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0DAEEB36" w14:textId="77777777" w:rsidR="00112F15" w:rsidRDefault="00815ACD">
      <w:pPr>
        <w:pStyle w:val="Artbezakapit"/>
        <w:rPr>
          <w:rFonts w:ascii="Arial" w:hAnsi="Arial" w:cs="Arial"/>
          <w:b/>
          <w:bCs/>
          <w:spacing w:val="-3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>NIE DOTYCZY</w:t>
      </w:r>
    </w:p>
    <w:p w14:paraId="0A823EDA" w14:textId="77777777" w:rsidR="00112F15" w:rsidRDefault="00112F15">
      <w:pPr>
        <w:pStyle w:val="Artbezakapit"/>
      </w:pPr>
    </w:p>
    <w:tbl>
      <w:tblPr>
        <w:tblW w:w="9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112F15" w14:paraId="39BCF24F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E891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3E56E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5963D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15D81" w14:textId="77777777" w:rsidR="00112F15" w:rsidRDefault="00815ACD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112F15" w14:paraId="787868B4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88F60" w14:textId="77777777" w:rsidR="00112F15" w:rsidRDefault="00815ACD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2512" w14:textId="77777777" w:rsidR="00112F15" w:rsidRDefault="00815ACD">
            <w:pPr>
              <w:pStyle w:val="Tabelarodek"/>
              <w:jc w:val="left"/>
            </w:pPr>
            <w:r>
              <w:t>Przychody:</w:t>
            </w:r>
          </w:p>
          <w:p w14:paraId="44482384" w14:textId="77777777" w:rsidR="00112F15" w:rsidRDefault="00815ACD">
            <w:pPr>
              <w:pStyle w:val="Tabelarodek"/>
              <w:jc w:val="left"/>
            </w:pPr>
            <w:r>
              <w:t>- o nadzwyczajnej wartości,</w:t>
            </w:r>
          </w:p>
          <w:p w14:paraId="1E876216" w14:textId="77777777" w:rsidR="00112F15" w:rsidRDefault="00815ACD">
            <w:pPr>
              <w:pStyle w:val="Tabelarodek"/>
              <w:jc w:val="left"/>
            </w:pPr>
            <w:r>
              <w:t>-które wystąpiły incydentalnie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A562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76DB4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7CD5672B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CB2F" w14:textId="77777777" w:rsidR="00112F15" w:rsidRDefault="00815ACD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0A569" w14:textId="77777777" w:rsidR="00112F15" w:rsidRDefault="00815ACD">
            <w:pPr>
              <w:pStyle w:val="Tabelarodek"/>
              <w:jc w:val="left"/>
            </w:pPr>
            <w:r>
              <w:t>Koszty:</w:t>
            </w:r>
          </w:p>
          <w:p w14:paraId="22B69718" w14:textId="77777777" w:rsidR="00112F15" w:rsidRDefault="00815ACD">
            <w:pPr>
              <w:pStyle w:val="Tabelarodek"/>
              <w:jc w:val="left"/>
            </w:pPr>
            <w:r>
              <w:t>- o nadzwyczajnej wartości,</w:t>
            </w:r>
          </w:p>
          <w:p w14:paraId="51CF4790" w14:textId="77777777" w:rsidR="00112F15" w:rsidRDefault="00815ACD">
            <w:pPr>
              <w:pStyle w:val="Tabelarodek"/>
              <w:jc w:val="left"/>
            </w:pPr>
            <w:r>
              <w:t xml:space="preserve">-które </w:t>
            </w:r>
            <w:r>
              <w:t>wystąpiły incydentalnie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42F8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AEDE6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112F15" w14:paraId="78D6B3BB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DBED" w14:textId="77777777" w:rsidR="00112F15" w:rsidRDefault="00112F15">
            <w:pPr>
              <w:pStyle w:val="Tabelarodek"/>
              <w:snapToGrid w:val="0"/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DDF4" w14:textId="77777777" w:rsidR="00112F15" w:rsidRDefault="00815ACD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9EB9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10B2E" w14:textId="77777777" w:rsidR="00112F15" w:rsidRDefault="00112F15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14:paraId="5FBA0CD6" w14:textId="77777777" w:rsidR="00112F15" w:rsidRDefault="00112F15">
      <w:pPr>
        <w:pStyle w:val="Artbezakapit"/>
        <w:rPr>
          <w:b/>
          <w:bCs/>
        </w:rPr>
      </w:pPr>
    </w:p>
    <w:p w14:paraId="7F8B49FA" w14:textId="77777777" w:rsidR="00112F15" w:rsidRDefault="00815ACD">
      <w:pPr>
        <w:pStyle w:val="11"/>
        <w:spacing w:before="120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2.4. Informacja o kwocie należności z tytułu podatków realizowanych przez organy podatkowe podległe ministrowi właściwemu do spraw finansów publicznych wykazanych w sprawozdaniu z wykonaniu planu dochodów </w:t>
      </w:r>
      <w:r>
        <w:rPr>
          <w:rFonts w:ascii="Arial" w:hAnsi="Arial" w:cs="Arial"/>
          <w:b/>
          <w:bCs/>
          <w:sz w:val="20"/>
          <w:szCs w:val="20"/>
        </w:rPr>
        <w:t>budżetowych</w:t>
      </w:r>
    </w:p>
    <w:p w14:paraId="1DA1ECAA" w14:textId="77777777" w:rsidR="00112F15" w:rsidRDefault="00815ACD">
      <w:pPr>
        <w:pStyle w:val="11"/>
        <w:spacing w:before="120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2.5. Inne informacje</w:t>
      </w:r>
    </w:p>
    <w:p w14:paraId="6800FE83" w14:textId="77777777" w:rsidR="00112F15" w:rsidRDefault="00815ACD">
      <w:pPr>
        <w:pStyle w:val="11"/>
        <w:spacing w:before="120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Inne informacje niż wymienione powyżej, jeżeli mogłyby w istotny sposób wpłynąć na ocenę sytuacji majątkowej i finansowej oraz wynik finansowy jednostki</w:t>
      </w:r>
    </w:p>
    <w:p w14:paraId="0930CFBE" w14:textId="77777777" w:rsidR="00112F15" w:rsidRDefault="00815ACD">
      <w:pPr>
        <w:pStyle w:val="11"/>
        <w:spacing w:before="120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309E71EF" w14:textId="77777777" w:rsidR="00112F15" w:rsidRDefault="00112F15">
      <w:pPr>
        <w:pStyle w:val="1"/>
      </w:pPr>
    </w:p>
    <w:p w14:paraId="4985A35B" w14:textId="77777777" w:rsidR="00112F15" w:rsidRDefault="00112F15">
      <w:pPr>
        <w:pStyle w:val="Artbezakapit"/>
      </w:pPr>
    </w:p>
    <w:p w14:paraId="26D8C97B" w14:textId="77777777" w:rsidR="00112F15" w:rsidRDefault="00112F15">
      <w:pPr>
        <w:pStyle w:val="Standard"/>
      </w:pPr>
    </w:p>
    <w:sectPr w:rsidR="00112F15">
      <w:footerReference w:type="default" r:id="rId10"/>
      <w:pgSz w:w="11906" w:h="16838"/>
      <w:pgMar w:top="1033" w:right="1418" w:bottom="1033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BD8B" w14:textId="77777777" w:rsidR="00815ACD" w:rsidRDefault="00815ACD">
      <w:r>
        <w:separator/>
      </w:r>
    </w:p>
  </w:endnote>
  <w:endnote w:type="continuationSeparator" w:id="0">
    <w:p w14:paraId="23105124" w14:textId="77777777" w:rsidR="00815ACD" w:rsidRDefault="0081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86C7" w14:textId="77777777" w:rsidR="00F77B79" w:rsidRDefault="00815AC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5C136AC4" w14:textId="77777777" w:rsidR="00F77B79" w:rsidRDefault="00815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6840" w14:textId="77777777" w:rsidR="00815ACD" w:rsidRDefault="00815ACD">
      <w:r>
        <w:rPr>
          <w:color w:val="000000"/>
        </w:rPr>
        <w:separator/>
      </w:r>
    </w:p>
  </w:footnote>
  <w:footnote w:type="continuationSeparator" w:id="0">
    <w:p w14:paraId="5777D9E0" w14:textId="77777777" w:rsidR="00815ACD" w:rsidRDefault="00815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38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2F15"/>
    <w:rsid w:val="00112F15"/>
    <w:rsid w:val="00815ACD"/>
    <w:rsid w:val="00D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750AC8"/>
  <w15:docId w15:val="{4333460E-5710-44EC-9EBA-ADAE2EE7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rakstyluakapitowego">
    <w:name w:val="[Brak stylu akapitowego]"/>
    <w:pPr>
      <w:widowControl/>
      <w:suppressAutoHyphens/>
      <w:spacing w:line="288" w:lineRule="auto"/>
      <w:textAlignment w:val="center"/>
    </w:pPr>
    <w:rPr>
      <w:rFonts w:eastAsia="Times New Roman" w:cs="Times New Roman"/>
      <w:color w:val="000000"/>
      <w:lang w:bidi="ar-SA"/>
    </w:rPr>
  </w:style>
  <w:style w:type="paragraph" w:customStyle="1" w:styleId="Dz1">
    <w:name w:val="Dz_1"/>
    <w:basedOn w:val="Brakstyluakapitowego"/>
    <w:pPr>
      <w:tabs>
        <w:tab w:val="left" w:pos="397"/>
        <w:tab w:val="left" w:pos="454"/>
        <w:tab w:val="left" w:pos="601"/>
        <w:tab w:val="left" w:pos="720"/>
        <w:tab w:val="left" w:pos="1440"/>
        <w:tab w:val="left" w:pos="2154"/>
        <w:tab w:val="left" w:pos="2880"/>
      </w:tabs>
      <w:spacing w:before="62" w:after="79" w:line="320" w:lineRule="atLeast"/>
    </w:pPr>
    <w:rPr>
      <w:rFonts w:ascii="Helvetica" w:eastAsia="Helvetica" w:hAnsi="Helvetica" w:cs="Helvetica"/>
      <w:b/>
      <w:bCs/>
      <w:spacing w:val="3"/>
      <w:sz w:val="27"/>
      <w:szCs w:val="27"/>
    </w:rPr>
  </w:style>
  <w:style w:type="paragraph" w:customStyle="1" w:styleId="Art">
    <w:name w:val="Art."/>
    <w:basedOn w:val="Brakstyluakapitowego"/>
    <w:pPr>
      <w:spacing w:line="240" w:lineRule="atLeast"/>
      <w:ind w:firstLine="238"/>
      <w:jc w:val="both"/>
    </w:pPr>
    <w:rPr>
      <w:rFonts w:ascii="Helvetica" w:eastAsia="Helvetica" w:hAnsi="Helvetica" w:cs="Helvetica"/>
      <w:spacing w:val="2"/>
      <w:sz w:val="19"/>
      <w:szCs w:val="19"/>
    </w:rPr>
  </w:style>
  <w:style w:type="paragraph" w:customStyle="1" w:styleId="1">
    <w:name w:val="1)..."/>
    <w:basedOn w:val="Brakstyluakapitowego"/>
    <w:pPr>
      <w:tabs>
        <w:tab w:val="right" w:leader="dot" w:pos="567"/>
        <w:tab w:val="left" w:pos="1134"/>
        <w:tab w:val="right" w:pos="8561"/>
      </w:tabs>
      <w:spacing w:line="240" w:lineRule="atLeast"/>
      <w:ind w:left="567" w:hanging="227"/>
      <w:jc w:val="both"/>
    </w:pPr>
    <w:rPr>
      <w:rFonts w:ascii="Helvetica" w:eastAsia="Helvetica" w:hAnsi="Helvetica" w:cs="Helvetica"/>
      <w:spacing w:val="2"/>
      <w:sz w:val="19"/>
      <w:szCs w:val="19"/>
    </w:rPr>
  </w:style>
  <w:style w:type="paragraph" w:customStyle="1" w:styleId="a">
    <w:name w:val="a)..."/>
    <w:basedOn w:val="Brakstyluakapitowego"/>
    <w:pPr>
      <w:tabs>
        <w:tab w:val="right" w:pos="8788"/>
        <w:tab w:val="left" w:pos="10794"/>
      </w:tabs>
      <w:spacing w:line="240" w:lineRule="atLeast"/>
      <w:ind w:left="794" w:hanging="227"/>
      <w:jc w:val="both"/>
    </w:pPr>
    <w:rPr>
      <w:rFonts w:ascii="Helvetica" w:eastAsia="Helvetica" w:hAnsi="Helvetica" w:cs="Helvetica"/>
      <w:spacing w:val="2"/>
      <w:sz w:val="19"/>
      <w:szCs w:val="19"/>
    </w:rPr>
  </w:style>
  <w:style w:type="paragraph" w:customStyle="1" w:styleId="Luka">
    <w:name w:val="Luka"/>
    <w:basedOn w:val="Brakstyluakapitowego"/>
    <w:pPr>
      <w:tabs>
        <w:tab w:val="left" w:pos="2268"/>
        <w:tab w:val="left" w:pos="2494"/>
        <w:tab w:val="left" w:pos="3288"/>
        <w:tab w:val="right" w:pos="8164"/>
      </w:tabs>
      <w:spacing w:before="11" w:after="20" w:line="60" w:lineRule="atLeast"/>
      <w:ind w:left="170"/>
      <w:jc w:val="both"/>
    </w:pPr>
    <w:rPr>
      <w:rFonts w:ascii="Helvetica" w:eastAsia="Helvetica" w:hAnsi="Helvetica" w:cs="Helvetica"/>
      <w:sz w:val="6"/>
      <w:szCs w:val="6"/>
    </w:rPr>
  </w:style>
  <w:style w:type="paragraph" w:customStyle="1" w:styleId="Artbezakapit">
    <w:name w:val="Art. bez akapit"/>
    <w:basedOn w:val="Standard"/>
    <w:pPr>
      <w:spacing w:after="0" w:line="230" w:lineRule="atLeast"/>
      <w:jc w:val="both"/>
      <w:textAlignment w:val="center"/>
    </w:pPr>
    <w:rPr>
      <w:rFonts w:ascii="Helvetica" w:eastAsia="Helvetica" w:hAnsi="Helvetica" w:cs="Helvetica"/>
      <w:color w:val="000000"/>
      <w:spacing w:val="2"/>
      <w:sz w:val="19"/>
      <w:szCs w:val="19"/>
    </w:rPr>
  </w:style>
  <w:style w:type="paragraph" w:customStyle="1" w:styleId="Dz11">
    <w:name w:val="Dz_1.1."/>
    <w:basedOn w:val="Brakstyluakapitowego"/>
    <w:pPr>
      <w:tabs>
        <w:tab w:val="left" w:pos="340"/>
        <w:tab w:val="left" w:pos="454"/>
        <w:tab w:val="left" w:pos="540"/>
        <w:tab w:val="left" w:pos="1440"/>
        <w:tab w:val="left" w:pos="2154"/>
        <w:tab w:val="left" w:pos="2880"/>
      </w:tabs>
      <w:spacing w:before="130" w:after="57" w:line="260" w:lineRule="atLeast"/>
    </w:pPr>
    <w:rPr>
      <w:rFonts w:ascii="Helvetica" w:eastAsia="Helvetica" w:hAnsi="Helvetica" w:cs="Helvetica"/>
      <w:b/>
      <w:bCs/>
      <w:spacing w:val="2"/>
      <w:sz w:val="22"/>
      <w:szCs w:val="22"/>
    </w:rPr>
  </w:style>
  <w:style w:type="paragraph" w:customStyle="1" w:styleId="Nazwatabeli">
    <w:name w:val="Nazwa tabeli"/>
    <w:basedOn w:val="Standard"/>
    <w:pPr>
      <w:spacing w:before="57" w:after="0" w:line="240" w:lineRule="atLeast"/>
      <w:jc w:val="center"/>
      <w:textAlignment w:val="center"/>
    </w:pPr>
    <w:rPr>
      <w:rFonts w:ascii="Helvetica" w:eastAsia="Helvetica" w:hAnsi="Helvetica" w:cs="Helvetica"/>
      <w:b/>
      <w:bCs/>
      <w:color w:val="000000"/>
      <w:spacing w:val="2"/>
      <w:sz w:val="19"/>
      <w:szCs w:val="19"/>
    </w:rPr>
  </w:style>
  <w:style w:type="paragraph" w:customStyle="1" w:styleId="11">
    <w:name w:val="11)..."/>
    <w:basedOn w:val="Brakstyluakapitowego"/>
    <w:pPr>
      <w:tabs>
        <w:tab w:val="left" w:pos="1134"/>
        <w:tab w:val="right" w:pos="8561"/>
      </w:tabs>
      <w:spacing w:line="240" w:lineRule="atLeast"/>
      <w:ind w:left="567" w:hanging="340"/>
      <w:jc w:val="both"/>
    </w:pPr>
    <w:rPr>
      <w:rFonts w:ascii="Helvetica" w:eastAsia="Helvetica" w:hAnsi="Helvetica" w:cs="Helvetica"/>
      <w:spacing w:val="2"/>
      <w:sz w:val="19"/>
      <w:szCs w:val="19"/>
    </w:rPr>
  </w:style>
  <w:style w:type="paragraph" w:customStyle="1" w:styleId="Tabelarodek">
    <w:name w:val="Tabela środek"/>
    <w:basedOn w:val="Brakstyluakapitowego"/>
    <w:pPr>
      <w:spacing w:before="40" w:line="150" w:lineRule="atLeast"/>
      <w:jc w:val="center"/>
    </w:pPr>
    <w:rPr>
      <w:rFonts w:ascii="Helvetica" w:eastAsia="Helvetica" w:hAnsi="Helvetica" w:cs="Helvetica"/>
      <w:spacing w:val="1"/>
      <w:sz w:val="14"/>
      <w:szCs w:val="14"/>
    </w:rPr>
  </w:style>
  <w:style w:type="paragraph" w:customStyle="1" w:styleId="Tabelatekst">
    <w:name w:val="Tabela tekst"/>
    <w:basedOn w:val="Brakstyluakapitowego"/>
    <w:pPr>
      <w:tabs>
        <w:tab w:val="left" w:pos="227"/>
        <w:tab w:val="left" w:pos="340"/>
      </w:tabs>
      <w:spacing w:line="170" w:lineRule="atLeast"/>
    </w:pPr>
    <w:rPr>
      <w:rFonts w:ascii="Helvetica" w:eastAsia="Helvetica" w:hAnsi="Helvetica" w:cs="Helvetica"/>
      <w:spacing w:val="1"/>
      <w:sz w:val="14"/>
      <w:szCs w:val="14"/>
    </w:rPr>
  </w:style>
  <w:style w:type="paragraph" w:customStyle="1" w:styleId="Tabelaa">
    <w:name w:val="Tabela a).."/>
    <w:basedOn w:val="Brakstyluakapitowego"/>
    <w:pPr>
      <w:tabs>
        <w:tab w:val="left" w:pos="397"/>
        <w:tab w:val="left" w:pos="794"/>
        <w:tab w:val="left" w:pos="1237"/>
        <w:tab w:val="right" w:pos="8391"/>
      </w:tabs>
      <w:spacing w:before="57" w:line="170" w:lineRule="atLeast"/>
      <w:ind w:left="397" w:hanging="170"/>
    </w:pPr>
    <w:rPr>
      <w:rFonts w:ascii="Helvetica" w:eastAsia="Helvetica" w:hAnsi="Helvetica" w:cs="Helvetica"/>
      <w:spacing w:val="1"/>
      <w:sz w:val="14"/>
      <w:szCs w:val="14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ekstprzypisudolnegoZnak">
    <w:name w:val="Tekst przypisu dolnego Znak"/>
    <w:basedOn w:val="Domylnaczcionkaakapitu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1368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Filbier</cp:lastModifiedBy>
  <cp:revision>2</cp:revision>
  <cp:lastPrinted>2022-04-30T19:40:00Z</cp:lastPrinted>
  <dcterms:created xsi:type="dcterms:W3CDTF">2022-04-30T19:40:00Z</dcterms:created>
  <dcterms:modified xsi:type="dcterms:W3CDTF">2022-04-30T19:40:00Z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